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8B" w:rsidRDefault="00146E8B">
      <w:pPr>
        <w:pStyle w:val="Titre1"/>
        <w:jc w:val="center"/>
        <w:rPr>
          <w:sz w:val="48"/>
          <w:szCs w:val="48"/>
        </w:rPr>
      </w:pPr>
    </w:p>
    <w:p w:rsidR="00146E8B" w:rsidRDefault="00146E8B">
      <w:pPr>
        <w:pStyle w:val="Titre1"/>
        <w:jc w:val="center"/>
        <w:rPr>
          <w:sz w:val="48"/>
          <w:szCs w:val="48"/>
        </w:rPr>
      </w:pPr>
    </w:p>
    <w:p w:rsidR="00580B99" w:rsidRDefault="00580B99">
      <w:pPr>
        <w:pStyle w:val="Titre1"/>
        <w:jc w:val="center"/>
        <w:rPr>
          <w:sz w:val="48"/>
          <w:szCs w:val="48"/>
        </w:rPr>
      </w:pPr>
    </w:p>
    <w:p w:rsidR="00580B99" w:rsidRDefault="00580B99">
      <w:pPr>
        <w:pStyle w:val="Titre1"/>
        <w:jc w:val="center"/>
        <w:rPr>
          <w:sz w:val="48"/>
          <w:szCs w:val="48"/>
        </w:rPr>
      </w:pPr>
    </w:p>
    <w:p w:rsidR="00580B99" w:rsidRDefault="00580B99">
      <w:pPr>
        <w:pStyle w:val="Titre1"/>
        <w:jc w:val="center"/>
        <w:rPr>
          <w:sz w:val="48"/>
          <w:szCs w:val="48"/>
        </w:rPr>
      </w:pPr>
    </w:p>
    <w:p w:rsidR="00146E8B" w:rsidRDefault="00146E8B">
      <w:pPr>
        <w:pStyle w:val="Titre1"/>
        <w:jc w:val="center"/>
        <w:rPr>
          <w:sz w:val="48"/>
          <w:szCs w:val="48"/>
        </w:rPr>
      </w:pPr>
      <w:r>
        <w:rPr>
          <w:sz w:val="48"/>
          <w:szCs w:val="48"/>
        </w:rPr>
        <w:t>Conseil régional d’Aquitaine</w:t>
      </w:r>
    </w:p>
    <w:p w:rsidR="00146E8B" w:rsidRDefault="00146E8B"/>
    <w:p w:rsidR="00146E8B" w:rsidRDefault="00146E8B">
      <w:pPr>
        <w:pStyle w:val="Titre1"/>
        <w:jc w:val="center"/>
        <w:rPr>
          <w:sz w:val="48"/>
          <w:szCs w:val="48"/>
        </w:rPr>
      </w:pPr>
      <w:r>
        <w:rPr>
          <w:sz w:val="48"/>
          <w:szCs w:val="48"/>
        </w:rPr>
        <w:t>Appel à Manifestation d’Intérêt</w:t>
      </w:r>
    </w:p>
    <w:p w:rsidR="00146E8B" w:rsidRDefault="00146E8B">
      <w:pPr>
        <w:pStyle w:val="Titre1"/>
        <w:jc w:val="center"/>
        <w:rPr>
          <w:sz w:val="48"/>
          <w:szCs w:val="48"/>
        </w:rPr>
      </w:pPr>
    </w:p>
    <w:p w:rsidR="00146E8B" w:rsidRDefault="00146E8B">
      <w:pPr>
        <w:pStyle w:val="Titre1"/>
        <w:jc w:val="center"/>
        <w:rPr>
          <w:sz w:val="48"/>
          <w:szCs w:val="48"/>
        </w:rPr>
      </w:pPr>
      <w:r>
        <w:rPr>
          <w:sz w:val="48"/>
          <w:szCs w:val="48"/>
        </w:rPr>
        <w:t xml:space="preserve"> Innovation sociale</w:t>
      </w:r>
    </w:p>
    <w:p w:rsidR="00146E8B" w:rsidRDefault="00146E8B">
      <w:pPr>
        <w:jc w:val="center"/>
        <w:rPr>
          <w:sz w:val="44"/>
          <w:szCs w:val="44"/>
        </w:rPr>
      </w:pPr>
    </w:p>
    <w:p w:rsidR="00146E8B" w:rsidRDefault="00146E8B">
      <w:pPr>
        <w:jc w:val="center"/>
        <w:rPr>
          <w:sz w:val="44"/>
          <w:szCs w:val="44"/>
        </w:rPr>
      </w:pPr>
    </w:p>
    <w:p w:rsidR="00146E8B" w:rsidRDefault="00624C54">
      <w:pPr>
        <w:jc w:val="center"/>
        <w:rPr>
          <w:sz w:val="44"/>
          <w:szCs w:val="44"/>
        </w:rPr>
      </w:pPr>
      <w:r>
        <w:rPr>
          <w:sz w:val="44"/>
          <w:szCs w:val="44"/>
        </w:rPr>
        <w:t>2015</w:t>
      </w:r>
    </w:p>
    <w:p w:rsidR="00146E8B" w:rsidRDefault="00146E8B"/>
    <w:p w:rsidR="00146E8B" w:rsidRDefault="00146E8B"/>
    <w:p w:rsidR="005A21B3" w:rsidRDefault="005A21B3">
      <w:pPr>
        <w:pStyle w:val="Titre3"/>
      </w:pPr>
    </w:p>
    <w:p w:rsidR="005A21B3" w:rsidRDefault="005A21B3">
      <w:pPr>
        <w:pStyle w:val="Titre3"/>
      </w:pPr>
    </w:p>
    <w:p w:rsidR="005A21B3" w:rsidRDefault="005A21B3">
      <w:pPr>
        <w:pStyle w:val="Titre3"/>
      </w:pPr>
    </w:p>
    <w:p w:rsidR="005A21B3" w:rsidRDefault="005A21B3">
      <w:pPr>
        <w:pStyle w:val="Titre3"/>
      </w:pPr>
    </w:p>
    <w:p w:rsidR="005A21B3" w:rsidRDefault="005A21B3">
      <w:pPr>
        <w:pStyle w:val="Titre3"/>
      </w:pPr>
    </w:p>
    <w:p w:rsidR="005A21B3" w:rsidRDefault="005A21B3" w:rsidP="00A81E59">
      <w:pPr>
        <w:pStyle w:val="Titre3"/>
        <w:jc w:val="center"/>
      </w:pPr>
      <w:r w:rsidRPr="00F56852">
        <w:rPr>
          <w:b w:val="0"/>
          <w:i/>
        </w:rPr>
        <w:t>Repérer et soutenir les innovations sociales en Aquitaine</w:t>
      </w:r>
    </w:p>
    <w:p w:rsidR="00146E8B" w:rsidRDefault="00146E8B" w:rsidP="005A21B3">
      <w:pPr>
        <w:pStyle w:val="Titre3"/>
      </w:pPr>
      <w:r>
        <w:br w:type="page"/>
      </w:r>
      <w:r w:rsidR="00512138">
        <w:lastRenderedPageBreak/>
        <w:t>L</w:t>
      </w:r>
      <w:r>
        <w:t>’innovation sociale</w:t>
      </w:r>
    </w:p>
    <w:p w:rsidR="00146E8B" w:rsidRPr="00FC6F89" w:rsidRDefault="00146E8B" w:rsidP="00FC6F89"/>
    <w:p w:rsidR="00A81E59" w:rsidRDefault="00A63F5F" w:rsidP="00A63F5F">
      <w:pPr>
        <w:jc w:val="both"/>
      </w:pPr>
      <w:r>
        <w:t xml:space="preserve">Le travail mené par la Région </w:t>
      </w:r>
      <w:r w:rsidR="00A81E59">
        <w:t xml:space="preserve">Aquitaine </w:t>
      </w:r>
      <w:r>
        <w:t xml:space="preserve">pour encourager l’innovation sociale s’inscrit pleinement dans un cadre européen </w:t>
      </w:r>
      <w:r w:rsidRPr="00FC6F89">
        <w:rPr>
          <w:szCs w:val="22"/>
        </w:rPr>
        <w:t xml:space="preserve">(Guide to social innovation, DG politique </w:t>
      </w:r>
      <w:r>
        <w:rPr>
          <w:szCs w:val="22"/>
        </w:rPr>
        <w:t>régionale et urbaine, fév</w:t>
      </w:r>
      <w:r w:rsidR="00A81E59">
        <w:rPr>
          <w:szCs w:val="22"/>
        </w:rPr>
        <w:t>rier</w:t>
      </w:r>
      <w:r>
        <w:rPr>
          <w:szCs w:val="22"/>
        </w:rPr>
        <w:t xml:space="preserve"> 2013)</w:t>
      </w:r>
      <w:r w:rsidRPr="00FC6F89">
        <w:rPr>
          <w:szCs w:val="22"/>
        </w:rPr>
        <w:t xml:space="preserve"> </w:t>
      </w:r>
      <w:r w:rsidR="001162B7">
        <w:t>ainsi que dans le cadre</w:t>
      </w:r>
      <w:r>
        <w:t xml:space="preserve"> national</w:t>
      </w:r>
      <w:r w:rsidR="00A81E59">
        <w:t xml:space="preserve"> de préparation d’une loi en faveur de </w:t>
      </w:r>
    </w:p>
    <w:p w:rsidR="00A63F5F" w:rsidRDefault="00A81E59" w:rsidP="00A63F5F">
      <w:pPr>
        <w:jc w:val="both"/>
      </w:pPr>
      <w:r>
        <w:t>l’</w:t>
      </w:r>
      <w:r w:rsidR="001162B7">
        <w:t xml:space="preserve">ESS, </w:t>
      </w:r>
      <w:r>
        <w:t xml:space="preserve">de travaux et </w:t>
      </w:r>
      <w:r w:rsidR="001162B7">
        <w:t xml:space="preserve">publications de l’AVISE et de l’Institut </w:t>
      </w:r>
      <w:proofErr w:type="gramStart"/>
      <w:r w:rsidR="001162B7">
        <w:t xml:space="preserve">Godin </w:t>
      </w:r>
      <w:proofErr w:type="gramEnd"/>
      <w:r w:rsidR="001162B7">
        <w:rPr>
          <w:rStyle w:val="Appelnotedebasdep"/>
        </w:rPr>
        <w:footnoteReference w:id="1"/>
      </w:r>
      <w:r w:rsidR="00A63F5F">
        <w:t>.</w:t>
      </w:r>
    </w:p>
    <w:p w:rsidR="001162B7" w:rsidRDefault="001162B7" w:rsidP="00A63F5F">
      <w:pPr>
        <w:jc w:val="both"/>
      </w:pPr>
    </w:p>
    <w:p w:rsidR="00A63F5F" w:rsidRPr="00A63F5F" w:rsidRDefault="00A63F5F" w:rsidP="00A63F5F">
      <w:pPr>
        <w:jc w:val="both"/>
      </w:pPr>
      <w:r w:rsidRPr="00A63F5F">
        <w:t xml:space="preserve">Une innovation sociale est une intervention visant à  </w:t>
      </w:r>
      <w:r w:rsidRPr="00512138">
        <w:rPr>
          <w:b/>
        </w:rPr>
        <w:t>répondre à une aspiration</w:t>
      </w:r>
      <w:r w:rsidRPr="00A63F5F">
        <w:t>, subvenir à un besoin nouveau ou mal satisfait, apporter une solution ou profi</w:t>
      </w:r>
      <w:r w:rsidR="001162B7">
        <w:t xml:space="preserve">ter d’une opportunité d’action </w:t>
      </w:r>
      <w:r w:rsidRPr="00A63F5F">
        <w:t>afin de modifier des relations entre des personnes ou des organisations, de transformer un cadre d’action territorial ou de proposer de nouvelles orientations culturelles.</w:t>
      </w:r>
    </w:p>
    <w:p w:rsidR="00A63F5F" w:rsidRPr="00A63F5F" w:rsidRDefault="00A63F5F" w:rsidP="00A63F5F">
      <w:pPr>
        <w:jc w:val="both"/>
      </w:pPr>
      <w:r w:rsidRPr="00A63F5F">
        <w:t xml:space="preserve">Elle se caractérise par </w:t>
      </w:r>
      <w:r w:rsidRPr="00512138">
        <w:rPr>
          <w:b/>
        </w:rPr>
        <w:t>la participation active et l’implication des acteurs aux processus de changement</w:t>
      </w:r>
      <w:r w:rsidRPr="00A63F5F">
        <w:t>. Elle est fortement liée aux spécificités d’un territoire, lesquelles conditionnent le caractère innovant de la démarche. La recherche du bien-être est aussi importante, voire</w:t>
      </w:r>
      <w:r w:rsidR="001162B7">
        <w:t xml:space="preserve"> davantage, que celle du profit</w:t>
      </w:r>
      <w:r w:rsidRPr="00A63F5F">
        <w:t>.</w:t>
      </w:r>
    </w:p>
    <w:p w:rsidR="00A63F5F" w:rsidRPr="00A63F5F" w:rsidRDefault="00A63F5F" w:rsidP="00A63F5F">
      <w:pPr>
        <w:jc w:val="both"/>
      </w:pPr>
      <w:r w:rsidRPr="00A63F5F">
        <w:t xml:space="preserve">En se combinant, les innovations </w:t>
      </w:r>
      <w:r w:rsidR="001162B7">
        <w:t xml:space="preserve">sociales </w:t>
      </w:r>
      <w:r w:rsidRPr="00A63F5F">
        <w:t xml:space="preserve">peuvent avoir à long terme une efficacité qui dépasse le cadre du projet initial et représenter un enjeu qui questionne les grands équilibres sociétaux. </w:t>
      </w:r>
      <w:r w:rsidRPr="00512138">
        <w:rPr>
          <w:b/>
        </w:rPr>
        <w:t>Elles deviennent alors une source de transformations sociales et peuvent contribuer à l’émergence de nouveaux modèles de développement.</w:t>
      </w:r>
    </w:p>
    <w:p w:rsidR="00146E8B" w:rsidRPr="00FC6F89" w:rsidRDefault="00146E8B">
      <w:pPr>
        <w:jc w:val="both"/>
        <w:rPr>
          <w:szCs w:val="22"/>
        </w:rPr>
      </w:pPr>
    </w:p>
    <w:p w:rsidR="00146E8B" w:rsidRPr="00FC6F89" w:rsidRDefault="00146E8B">
      <w:pPr>
        <w:jc w:val="both"/>
        <w:rPr>
          <w:szCs w:val="22"/>
        </w:rPr>
      </w:pPr>
      <w:r w:rsidRPr="00FC6F89">
        <w:rPr>
          <w:szCs w:val="22"/>
        </w:rPr>
        <w:t>Il est possible de repérer plusieurs voies que peut prendre l’innovation sociale :</w:t>
      </w:r>
    </w:p>
    <w:p w:rsidR="00146E8B" w:rsidRPr="00FC6F89" w:rsidRDefault="00146E8B">
      <w:pPr>
        <w:jc w:val="both"/>
        <w:rPr>
          <w:szCs w:val="22"/>
        </w:rPr>
      </w:pPr>
    </w:p>
    <w:p w:rsidR="00146E8B" w:rsidRPr="00FC6F89" w:rsidRDefault="00146E8B">
      <w:pPr>
        <w:numPr>
          <w:ilvl w:val="0"/>
          <w:numId w:val="7"/>
        </w:numPr>
        <w:jc w:val="both"/>
        <w:rPr>
          <w:szCs w:val="22"/>
        </w:rPr>
      </w:pPr>
      <w:r w:rsidRPr="00FC6F89">
        <w:rPr>
          <w:b/>
          <w:szCs w:val="22"/>
        </w:rPr>
        <w:t xml:space="preserve">L’Innovation Sociale de services et de produits. </w:t>
      </w:r>
      <w:r w:rsidRPr="00FC6F89">
        <w:rPr>
          <w:szCs w:val="22"/>
        </w:rPr>
        <w:t xml:space="preserve">Elle correspond à la mise en œuvre d’initiatives qui répondent à une aspiration ou à un besoin nouveau. L’innovation sociale est proche de l’économie de marché avec une mise en concurrence de l’initiative proposée, mais la dépasse en ce qu’elle peut aussi comprendre des valeurs autres que la richesse financière. </w:t>
      </w:r>
    </w:p>
    <w:p w:rsidR="00146E8B" w:rsidRPr="00FC6F89" w:rsidRDefault="00146E8B">
      <w:pPr>
        <w:pStyle w:val="Paragraphedeliste"/>
        <w:numPr>
          <w:ilvl w:val="2"/>
          <w:numId w:val="8"/>
        </w:numPr>
        <w:ind w:left="1701"/>
        <w:jc w:val="both"/>
        <w:rPr>
          <w:szCs w:val="22"/>
        </w:rPr>
      </w:pPr>
      <w:r w:rsidRPr="00FC6F89">
        <w:rPr>
          <w:szCs w:val="22"/>
        </w:rPr>
        <w:t>La dimension sociale fait ici référence au public bénéficiaire </w:t>
      </w:r>
    </w:p>
    <w:p w:rsidR="00146E8B" w:rsidRPr="00FC6F89" w:rsidRDefault="00146E8B">
      <w:pPr>
        <w:ind w:left="720"/>
        <w:jc w:val="both"/>
        <w:rPr>
          <w:szCs w:val="22"/>
        </w:rPr>
      </w:pPr>
    </w:p>
    <w:p w:rsidR="00146E8B" w:rsidRPr="00FC6F89" w:rsidRDefault="00146E8B">
      <w:pPr>
        <w:numPr>
          <w:ilvl w:val="0"/>
          <w:numId w:val="7"/>
        </w:numPr>
        <w:jc w:val="both"/>
        <w:rPr>
          <w:szCs w:val="22"/>
        </w:rPr>
      </w:pPr>
      <w:r w:rsidRPr="00FC6F89">
        <w:rPr>
          <w:b/>
          <w:szCs w:val="22"/>
        </w:rPr>
        <w:t xml:space="preserve">L’Innovation Sociale organisationnelle. </w:t>
      </w:r>
      <w:r w:rsidRPr="00FC6F89">
        <w:rPr>
          <w:szCs w:val="22"/>
        </w:rPr>
        <w:t>Qu’elle soit privée ou publique, elle propose de nouveaux modes de participation, de coopération des agents</w:t>
      </w:r>
      <w:r w:rsidR="00A81E59">
        <w:rPr>
          <w:szCs w:val="22"/>
        </w:rPr>
        <w:t xml:space="preserve"> et des personnes</w:t>
      </w:r>
      <w:r w:rsidRPr="00FC6F89">
        <w:rPr>
          <w:szCs w:val="22"/>
        </w:rPr>
        <w:t>. Cela peut être par exemple lié aux notions de dialogue social, de R</w:t>
      </w:r>
      <w:r w:rsidR="00A81E59">
        <w:rPr>
          <w:szCs w:val="22"/>
        </w:rPr>
        <w:t xml:space="preserve">esponsabilité </w:t>
      </w:r>
      <w:r w:rsidRPr="00FC6F89">
        <w:rPr>
          <w:szCs w:val="22"/>
        </w:rPr>
        <w:t>S</w:t>
      </w:r>
      <w:r w:rsidR="00A81E59">
        <w:rPr>
          <w:szCs w:val="22"/>
        </w:rPr>
        <w:t xml:space="preserve">ociale des </w:t>
      </w:r>
      <w:r w:rsidRPr="00FC6F89">
        <w:rPr>
          <w:szCs w:val="22"/>
        </w:rPr>
        <w:t>E</w:t>
      </w:r>
      <w:r w:rsidR="00A81E59">
        <w:rPr>
          <w:szCs w:val="22"/>
        </w:rPr>
        <w:t>ntreprises</w:t>
      </w:r>
      <w:r w:rsidRPr="00FC6F89">
        <w:rPr>
          <w:szCs w:val="22"/>
        </w:rPr>
        <w:t xml:space="preserve">, et autres démarches favorisant une plus grande implication des agents au service d’un meilleur développement de l’organisation et d’un mieux-être des personnes. </w:t>
      </w:r>
    </w:p>
    <w:p w:rsidR="00146E8B" w:rsidRPr="00FC6F89" w:rsidRDefault="00146E8B">
      <w:pPr>
        <w:pStyle w:val="Paragraphedeliste"/>
        <w:numPr>
          <w:ilvl w:val="2"/>
          <w:numId w:val="9"/>
        </w:numPr>
        <w:ind w:left="1701"/>
        <w:jc w:val="both"/>
        <w:rPr>
          <w:szCs w:val="22"/>
        </w:rPr>
      </w:pPr>
      <w:r w:rsidRPr="00FC6F89">
        <w:rPr>
          <w:szCs w:val="22"/>
        </w:rPr>
        <w:t>La dimension sociale fait ici référence à la prise en compte des aspirations de l’ensemble des composantes de l’organisation. Le résultat de l’innovation sera l’optimisation du modèle initial.</w:t>
      </w:r>
    </w:p>
    <w:p w:rsidR="00146E8B" w:rsidRPr="00FC6F89" w:rsidRDefault="00146E8B">
      <w:pPr>
        <w:jc w:val="both"/>
        <w:rPr>
          <w:szCs w:val="22"/>
        </w:rPr>
      </w:pPr>
    </w:p>
    <w:p w:rsidR="00146E8B" w:rsidRPr="00FC6F89" w:rsidRDefault="00146E8B">
      <w:pPr>
        <w:numPr>
          <w:ilvl w:val="0"/>
          <w:numId w:val="7"/>
        </w:numPr>
        <w:jc w:val="both"/>
        <w:rPr>
          <w:szCs w:val="22"/>
        </w:rPr>
      </w:pPr>
      <w:r w:rsidRPr="00FC6F89">
        <w:rPr>
          <w:b/>
          <w:szCs w:val="22"/>
        </w:rPr>
        <w:t>L’Innovation Sociale territoriale.</w:t>
      </w:r>
      <w:r w:rsidRPr="00FC6F89">
        <w:rPr>
          <w:szCs w:val="22"/>
        </w:rPr>
        <w:t xml:space="preserve"> Elle résulte de la coopération d’acteurs au service d’une aspiration collective ou d’un besoin en produisant des changements dans les processus de décision et de gouvernance t</w:t>
      </w:r>
      <w:r w:rsidR="00E60B24">
        <w:rPr>
          <w:szCs w:val="22"/>
        </w:rPr>
        <w:t>erritoriale</w:t>
      </w:r>
      <w:r w:rsidRPr="00FC6F89">
        <w:rPr>
          <w:szCs w:val="22"/>
        </w:rPr>
        <w:t xml:space="preserve">. Ces innovations sont porteuses de transformations et de remises en cause des rôles des acteurs impliqués, dont les services publics. Ces formes de coordination et de coopération, qui peuvent être dénuées de  relations marchandes, interrogent les pratiques en place et offrent de nouveaux champs à la gouvernance territoriale. Le rôle des usagers et des acteurs est primordial dans la coproduction de l’action. La mixité de la ressource et une économie plurielle sont importantes. </w:t>
      </w:r>
    </w:p>
    <w:p w:rsidR="00146E8B" w:rsidRPr="00FC6F89" w:rsidRDefault="00146E8B">
      <w:pPr>
        <w:pStyle w:val="Paragraphedeliste"/>
        <w:numPr>
          <w:ilvl w:val="2"/>
          <w:numId w:val="9"/>
        </w:numPr>
        <w:ind w:left="1701"/>
        <w:jc w:val="both"/>
        <w:rPr>
          <w:szCs w:val="22"/>
        </w:rPr>
      </w:pPr>
      <w:r w:rsidRPr="00FC6F89">
        <w:rPr>
          <w:szCs w:val="22"/>
        </w:rPr>
        <w:t>La dimension sociale de ces innovations fait ici référence à la nature des relations qui s’instaurent entre les partenaires.</w:t>
      </w:r>
    </w:p>
    <w:p w:rsidR="00146E8B" w:rsidRPr="00FC6F89" w:rsidRDefault="00146E8B">
      <w:pPr>
        <w:jc w:val="both"/>
        <w:rPr>
          <w:szCs w:val="22"/>
        </w:rPr>
      </w:pPr>
    </w:p>
    <w:p w:rsidR="00146E8B" w:rsidRPr="00FC6F89" w:rsidRDefault="00146E8B">
      <w:pPr>
        <w:pStyle w:val="Paragraphedeliste"/>
        <w:numPr>
          <w:ilvl w:val="0"/>
          <w:numId w:val="14"/>
        </w:numPr>
        <w:jc w:val="both"/>
        <w:rPr>
          <w:szCs w:val="22"/>
        </w:rPr>
      </w:pPr>
      <w:r w:rsidRPr="00FC6F89">
        <w:rPr>
          <w:szCs w:val="22"/>
        </w:rPr>
        <w:t xml:space="preserve">Enfin, </w:t>
      </w:r>
      <w:r w:rsidRPr="00FC6F89">
        <w:rPr>
          <w:b/>
          <w:szCs w:val="22"/>
        </w:rPr>
        <w:t>l’innovation sociale peut être un</w:t>
      </w:r>
      <w:r w:rsidRPr="00FC6F89">
        <w:rPr>
          <w:szCs w:val="22"/>
        </w:rPr>
        <w:t xml:space="preserve"> </w:t>
      </w:r>
      <w:r w:rsidRPr="00FC6F89">
        <w:rPr>
          <w:b/>
          <w:szCs w:val="22"/>
        </w:rPr>
        <w:t>objet de recherche</w:t>
      </w:r>
      <w:r w:rsidRPr="00FC6F89">
        <w:rPr>
          <w:szCs w:val="22"/>
        </w:rPr>
        <w:t xml:space="preserve">. Il s’agit le plus souvent de recherches menées dans les Sciences Humaines et Sociales autour d’une analyse des conditions de production de l’innovation, qu’elle soit technologique ou sociale : interaction et proximité des acteurs, existence de facilitations financières, capacité à élaborer un repérage fin d’un besoin, cadre juridique incitatif, </w:t>
      </w:r>
      <w:proofErr w:type="spellStart"/>
      <w:r w:rsidRPr="00FC6F89">
        <w:rPr>
          <w:szCs w:val="22"/>
        </w:rPr>
        <w:t>etc</w:t>
      </w:r>
      <w:proofErr w:type="spellEnd"/>
      <w:r w:rsidRPr="00FC6F89">
        <w:rPr>
          <w:szCs w:val="22"/>
        </w:rPr>
        <w:t>,…</w:t>
      </w:r>
    </w:p>
    <w:p w:rsidR="00146E8B" w:rsidRPr="00FC6F89" w:rsidRDefault="00146E8B">
      <w:pPr>
        <w:jc w:val="both"/>
        <w:rPr>
          <w:szCs w:val="22"/>
        </w:rPr>
      </w:pPr>
    </w:p>
    <w:p w:rsidR="00256EB7" w:rsidRPr="00D96983" w:rsidRDefault="00D96983" w:rsidP="00D96983">
      <w:pPr>
        <w:jc w:val="both"/>
        <w:rPr>
          <w:i/>
          <w:szCs w:val="22"/>
        </w:rPr>
      </w:pPr>
      <w:r w:rsidRPr="00D96983">
        <w:rPr>
          <w:i/>
          <w:szCs w:val="22"/>
        </w:rPr>
        <w:t xml:space="preserve">* </w:t>
      </w:r>
      <w:r w:rsidR="005A21B3" w:rsidRPr="00D96983">
        <w:rPr>
          <w:i/>
          <w:szCs w:val="22"/>
        </w:rPr>
        <w:t>Pour plus d’informat</w:t>
      </w:r>
      <w:r w:rsidR="002E4F1B" w:rsidRPr="00D96983">
        <w:rPr>
          <w:i/>
          <w:szCs w:val="22"/>
        </w:rPr>
        <w:t xml:space="preserve">ion sur la politique régionale de soutien à l’innovation sociale, un document issu du </w:t>
      </w:r>
      <w:r w:rsidR="00512138">
        <w:rPr>
          <w:i/>
          <w:szCs w:val="22"/>
        </w:rPr>
        <w:t xml:space="preserve">groupe de travail mis en place par la Région </w:t>
      </w:r>
      <w:r w:rsidR="002E4F1B" w:rsidRPr="00D96983">
        <w:rPr>
          <w:i/>
          <w:szCs w:val="22"/>
        </w:rPr>
        <w:t>intitulé « </w:t>
      </w:r>
      <w:r w:rsidR="005A21B3" w:rsidRPr="00D96983">
        <w:rPr>
          <w:i/>
          <w:szCs w:val="22"/>
        </w:rPr>
        <w:t>Encourager l’Innovation sociale</w:t>
      </w:r>
      <w:r w:rsidR="002E4F1B" w:rsidRPr="00D96983">
        <w:rPr>
          <w:i/>
          <w:szCs w:val="22"/>
        </w:rPr>
        <w:t> </w:t>
      </w:r>
      <w:r w:rsidR="00C4076E">
        <w:rPr>
          <w:i/>
          <w:szCs w:val="22"/>
        </w:rPr>
        <w:t>en Aquitaine</w:t>
      </w:r>
      <w:r w:rsidR="002E4F1B" w:rsidRPr="00D96983">
        <w:rPr>
          <w:i/>
          <w:szCs w:val="22"/>
        </w:rPr>
        <w:t>»</w:t>
      </w:r>
      <w:r w:rsidR="009E2C75">
        <w:rPr>
          <w:i/>
          <w:szCs w:val="22"/>
        </w:rPr>
        <w:t xml:space="preserve"> </w:t>
      </w:r>
      <w:r w:rsidR="005A21B3" w:rsidRPr="00D96983">
        <w:rPr>
          <w:i/>
          <w:szCs w:val="22"/>
        </w:rPr>
        <w:t xml:space="preserve"> </w:t>
      </w:r>
      <w:r w:rsidR="00A81E59">
        <w:rPr>
          <w:i/>
          <w:szCs w:val="22"/>
        </w:rPr>
        <w:t>est joint</w:t>
      </w:r>
      <w:r w:rsidR="005A21B3" w:rsidRPr="00D96983">
        <w:rPr>
          <w:i/>
          <w:szCs w:val="22"/>
        </w:rPr>
        <w:t xml:space="preserve"> en annexe</w:t>
      </w:r>
      <w:r w:rsidR="00EF527D" w:rsidRPr="00D96983">
        <w:rPr>
          <w:i/>
          <w:szCs w:val="22"/>
        </w:rPr>
        <w:t>.</w:t>
      </w:r>
    </w:p>
    <w:p w:rsidR="00EF527D" w:rsidRPr="00EF527D" w:rsidRDefault="00EF527D" w:rsidP="00EF527D">
      <w:pPr>
        <w:jc w:val="both"/>
        <w:rPr>
          <w:szCs w:val="22"/>
        </w:rPr>
      </w:pPr>
    </w:p>
    <w:p w:rsidR="00146E8B" w:rsidRDefault="00146E8B">
      <w:pPr>
        <w:pStyle w:val="Titre3"/>
      </w:pPr>
      <w:r>
        <w:t>Présentation de l’A</w:t>
      </w:r>
      <w:r w:rsidR="00A81E59">
        <w:t xml:space="preserve">ppel à </w:t>
      </w:r>
      <w:r>
        <w:t>M</w:t>
      </w:r>
      <w:r w:rsidR="00A81E59">
        <w:t>anifestation d’</w:t>
      </w:r>
      <w:r>
        <w:t>I</w:t>
      </w:r>
      <w:r w:rsidR="00A81E59">
        <w:t>ntérêt</w:t>
      </w:r>
      <w:r>
        <w:t xml:space="preserve"> et objectifs généraux</w:t>
      </w:r>
    </w:p>
    <w:p w:rsidR="00146E8B" w:rsidRDefault="00146E8B"/>
    <w:p w:rsidR="00146E8B" w:rsidRDefault="005718C1">
      <w:pPr>
        <w:jc w:val="both"/>
      </w:pPr>
      <w:r>
        <w:t>De la même manière qu’en 2014, l</w:t>
      </w:r>
      <w:r w:rsidR="00146E8B">
        <w:t>’Appel à Manifestation d’Intérêt que lance le Conseil régional d’Aquitaine a pour objet d’</w:t>
      </w:r>
      <w:r w:rsidR="00146E8B" w:rsidRPr="00EF527D">
        <w:rPr>
          <w:b/>
        </w:rPr>
        <w:t>identifier</w:t>
      </w:r>
      <w:r w:rsidR="00146E8B">
        <w:t xml:space="preserve"> les projets d’innovation sociale en Aquitaine et de leur apporter une </w:t>
      </w:r>
      <w:r w:rsidR="00146E8B" w:rsidRPr="00EF527D">
        <w:rPr>
          <w:b/>
        </w:rPr>
        <w:t>expertise</w:t>
      </w:r>
      <w:r w:rsidR="00146E8B">
        <w:t xml:space="preserve"> et un </w:t>
      </w:r>
      <w:r w:rsidR="00146E8B" w:rsidRPr="00EF527D">
        <w:rPr>
          <w:b/>
        </w:rPr>
        <w:t>soutien financier</w:t>
      </w:r>
      <w:r w:rsidR="00146E8B">
        <w:t>.</w:t>
      </w:r>
    </w:p>
    <w:p w:rsidR="00146E8B" w:rsidRDefault="00146E8B">
      <w:pPr>
        <w:jc w:val="both"/>
      </w:pPr>
    </w:p>
    <w:p w:rsidR="00146E8B" w:rsidRDefault="00146E8B">
      <w:pPr>
        <w:jc w:val="both"/>
      </w:pPr>
      <w:r>
        <w:t xml:space="preserve">Les projets ciblés </w:t>
      </w:r>
      <w:r w:rsidR="00A81E59">
        <w:t xml:space="preserve">pourront être </w:t>
      </w:r>
      <w:r>
        <w:t>portés par des</w:t>
      </w:r>
      <w:r w:rsidR="00EF527D">
        <w:t xml:space="preserve"> entreprises, des associations</w:t>
      </w:r>
      <w:r>
        <w:t>, des collectivités,</w:t>
      </w:r>
      <w:r w:rsidR="00FC6F89">
        <w:t xml:space="preserve"> </w:t>
      </w:r>
      <w:r>
        <w:t>des établissements publics ou des personnes physiques mettant en œuvre l’expérimentation d’une innovation sociale.</w:t>
      </w:r>
    </w:p>
    <w:p w:rsidR="00146E8B" w:rsidRDefault="00146E8B">
      <w:pPr>
        <w:jc w:val="both"/>
      </w:pPr>
    </w:p>
    <w:p w:rsidR="00146E8B" w:rsidRDefault="00146E8B">
      <w:pPr>
        <w:jc w:val="both"/>
      </w:pPr>
      <w:r>
        <w:t>La finalité de cet AMI est de soutenir de nouvelles initiatives relevant de l’innovation sociale et de susciter de nouvelles pratiques innovantes au service des Aquitains dans un objectif de développement, de diffusion et de changement d’échelle des bonnes pratiques.</w:t>
      </w:r>
    </w:p>
    <w:p w:rsidR="00146E8B" w:rsidRDefault="00146E8B">
      <w:pPr>
        <w:jc w:val="both"/>
      </w:pPr>
    </w:p>
    <w:p w:rsidR="00146E8B" w:rsidRDefault="00146E8B">
      <w:pPr>
        <w:jc w:val="both"/>
      </w:pPr>
      <w:r>
        <w:t>Il s’agit donc de :</w:t>
      </w:r>
    </w:p>
    <w:p w:rsidR="00EF527D" w:rsidRDefault="00EF527D">
      <w:pPr>
        <w:jc w:val="both"/>
      </w:pPr>
    </w:p>
    <w:p w:rsidR="00146E8B" w:rsidRDefault="00146E8B">
      <w:pPr>
        <w:numPr>
          <w:ilvl w:val="1"/>
          <w:numId w:val="10"/>
        </w:numPr>
        <w:ind w:left="709"/>
        <w:jc w:val="both"/>
      </w:pPr>
      <w:r>
        <w:t>Soutenir la recherche et le développement d’innovations sociales au service des différentes mutations sociétales actuelles et à venir</w:t>
      </w:r>
    </w:p>
    <w:p w:rsidR="00146E8B" w:rsidRDefault="00146E8B">
      <w:pPr>
        <w:numPr>
          <w:ilvl w:val="1"/>
          <w:numId w:val="10"/>
        </w:numPr>
        <w:ind w:left="709"/>
        <w:jc w:val="both"/>
      </w:pPr>
      <w:r>
        <w:t>Faire des territoires aquitains des laboratoires d’innovations</w:t>
      </w:r>
    </w:p>
    <w:p w:rsidR="00146E8B" w:rsidRDefault="00146E8B">
      <w:pPr>
        <w:numPr>
          <w:ilvl w:val="1"/>
          <w:numId w:val="10"/>
        </w:numPr>
        <w:ind w:left="709"/>
        <w:jc w:val="both"/>
      </w:pPr>
      <w:r>
        <w:t>Favoriser de nouvelles coopérations entre acteurs et bénéficiaires</w:t>
      </w:r>
    </w:p>
    <w:p w:rsidR="00146E8B" w:rsidRDefault="00146E8B">
      <w:pPr>
        <w:numPr>
          <w:ilvl w:val="1"/>
          <w:numId w:val="10"/>
        </w:numPr>
        <w:ind w:left="709"/>
        <w:jc w:val="both"/>
      </w:pPr>
      <w:r>
        <w:t>Contribuer à faire évoluer le regard sur l’innovation sociale</w:t>
      </w:r>
    </w:p>
    <w:p w:rsidR="00EF527D" w:rsidRDefault="00EF527D" w:rsidP="00EF527D">
      <w:pPr>
        <w:ind w:left="709"/>
        <w:jc w:val="both"/>
      </w:pPr>
    </w:p>
    <w:p w:rsidR="00146E8B" w:rsidRDefault="00146E8B">
      <w:pPr>
        <w:pStyle w:val="Titre3"/>
        <w:jc w:val="both"/>
      </w:pPr>
      <w:r>
        <w:t>1 – Objectifs techniques de l’AMI Innovation sociale de la Région Aquitaine</w:t>
      </w:r>
    </w:p>
    <w:p w:rsidR="00146E8B" w:rsidRDefault="00146E8B"/>
    <w:p w:rsidR="00146E8B" w:rsidRDefault="00146E8B">
      <w:r>
        <w:t xml:space="preserve">En lançant cet AMI, </w:t>
      </w:r>
      <w:smartTag w:uri="urn:schemas-microsoft-com:office:smarttags" w:element="PersonName">
        <w:smartTagPr>
          <w:attr w:name="ProductID" w:val="la R￩gion"/>
        </w:smartTagPr>
        <w:r>
          <w:t>la Région</w:t>
        </w:r>
      </w:smartTag>
      <w:r>
        <w:t xml:space="preserve"> souhaite à la fois : </w:t>
      </w:r>
    </w:p>
    <w:p w:rsidR="00146E8B" w:rsidRDefault="00146E8B"/>
    <w:p w:rsidR="00146E8B" w:rsidRDefault="00146E8B">
      <w:pPr>
        <w:numPr>
          <w:ilvl w:val="0"/>
          <w:numId w:val="2"/>
        </w:numPr>
        <w:jc w:val="both"/>
      </w:pPr>
      <w:r>
        <w:t>Démontrer l’existence de processus socialement innovants à l’œuvre dans les territoires et les entreprises d’Aquitaine, trop souvent méconnus voire ignorés car mal qualifiés.</w:t>
      </w:r>
    </w:p>
    <w:p w:rsidR="00146E8B" w:rsidRDefault="00146E8B">
      <w:pPr>
        <w:numPr>
          <w:ilvl w:val="0"/>
          <w:numId w:val="2"/>
        </w:numPr>
        <w:jc w:val="both"/>
      </w:pPr>
      <w:r>
        <w:t>Susciter des nouve</w:t>
      </w:r>
      <w:r w:rsidR="00F56852">
        <w:t>lles pratiques chez les acteurs.</w:t>
      </w:r>
    </w:p>
    <w:p w:rsidR="00146E8B" w:rsidRDefault="00146E8B">
      <w:pPr>
        <w:numPr>
          <w:ilvl w:val="0"/>
          <w:numId w:val="2"/>
        </w:numPr>
        <w:jc w:val="both"/>
      </w:pPr>
      <w:r>
        <w:t xml:space="preserve">Soutenir les initiatives en amont de leur phase de développement et de commercialisation par un soutien financier et </w:t>
      </w:r>
      <w:r w:rsidR="009E2C75">
        <w:t>un accompagnement par</w:t>
      </w:r>
      <w:r>
        <w:t xml:space="preserve"> des équipes de recherche</w:t>
      </w:r>
      <w:r w:rsidR="005718C1">
        <w:t xml:space="preserve"> qui </w:t>
      </w:r>
      <w:proofErr w:type="gramStart"/>
      <w:r w:rsidR="005718C1">
        <w:t>démontrerons</w:t>
      </w:r>
      <w:proofErr w:type="gramEnd"/>
      <w:r w:rsidR="005718C1">
        <w:t xml:space="preserve"> les caractères innovants du projet présenté</w:t>
      </w:r>
      <w:bookmarkStart w:id="0" w:name="_GoBack"/>
      <w:bookmarkEnd w:id="0"/>
    </w:p>
    <w:p w:rsidR="00146E8B" w:rsidRDefault="00146E8B">
      <w:pPr>
        <w:numPr>
          <w:ilvl w:val="0"/>
          <w:numId w:val="2"/>
        </w:numPr>
        <w:jc w:val="both"/>
      </w:pPr>
      <w:r>
        <w:t>Apporter des réponses concrètes en vue de l’amélioration de la qual</w:t>
      </w:r>
      <w:r w:rsidR="00B05754">
        <w:t>ité de vie des a</w:t>
      </w:r>
      <w:r>
        <w:t>quitains</w:t>
      </w:r>
    </w:p>
    <w:p w:rsidR="00146E8B" w:rsidRDefault="00146E8B">
      <w:pPr>
        <w:numPr>
          <w:ilvl w:val="0"/>
          <w:numId w:val="2"/>
        </w:numPr>
        <w:jc w:val="both"/>
      </w:pPr>
      <w:r>
        <w:t xml:space="preserve">Contribuer à ce qu’un nouveau regard soit porté aux problèmes complexes auxquels la société est confrontée, particulièrement en période de </w:t>
      </w:r>
      <w:r w:rsidR="009E2C75">
        <w:t>mutation.</w:t>
      </w:r>
    </w:p>
    <w:p w:rsidR="00EF527D" w:rsidRDefault="00EF527D" w:rsidP="00EF527D">
      <w:pPr>
        <w:ind w:left="720"/>
        <w:jc w:val="both"/>
      </w:pPr>
    </w:p>
    <w:p w:rsidR="00146E8B" w:rsidRDefault="00146E8B">
      <w:pPr>
        <w:pStyle w:val="Titre3"/>
      </w:pPr>
      <w:r>
        <w:lastRenderedPageBreak/>
        <w:t>2 – Les conditions et critères d’éligibilité</w:t>
      </w:r>
    </w:p>
    <w:p w:rsidR="00146E8B" w:rsidRDefault="00146E8B"/>
    <w:p w:rsidR="00146E8B" w:rsidRDefault="00146E8B">
      <w:pPr>
        <w:jc w:val="both"/>
      </w:pPr>
      <w:r>
        <w:t>Les actions présentées seront </w:t>
      </w:r>
      <w:r>
        <w:rPr>
          <w:b/>
        </w:rPr>
        <w:t>de nature collective</w:t>
      </w:r>
      <w:r>
        <w:t> et proposent des coopérations entre partenaires, avec une présentation détaillée de la nature et du rôle de chaque participant.</w:t>
      </w:r>
    </w:p>
    <w:p w:rsidR="00146E8B" w:rsidRDefault="00146E8B">
      <w:pPr>
        <w:pStyle w:val="Paragraphedeliste"/>
        <w:ind w:left="0"/>
        <w:jc w:val="both"/>
      </w:pPr>
    </w:p>
    <w:p w:rsidR="00146E8B" w:rsidRDefault="00146E8B">
      <w:pPr>
        <w:pStyle w:val="Paragraphedeliste"/>
        <w:ind w:left="0"/>
        <w:jc w:val="both"/>
      </w:pPr>
      <w:r>
        <w:t>La phase de l'action qui peut bénéficier d’un soutien est la phase d’émergence</w:t>
      </w:r>
      <w:r w:rsidR="008D632E">
        <w:t xml:space="preserve"> </w:t>
      </w:r>
      <w:r>
        <w:t>:</w:t>
      </w:r>
      <w:r w:rsidR="005A21B3">
        <w:t xml:space="preserve"> </w:t>
      </w:r>
      <w:r>
        <w:t>elle doit se situer en</w:t>
      </w:r>
      <w:r>
        <w:rPr>
          <w:b/>
        </w:rPr>
        <w:t xml:space="preserve"> amont de la commercialisation</w:t>
      </w:r>
      <w:r>
        <w:t xml:space="preserve"> de services et produits pour les projets qui seront amenés à trouver leur équilibre sur le marché. La mise sur le marché des résultats du projet ne peut faire l’objet d’un soutien dans le cadre de cet AMI. Il s’agit donc d’accompagner de nouvelles initiatives de l’innovation sociale à </w:t>
      </w:r>
      <w:r w:rsidR="008D632E">
        <w:t xml:space="preserve">émerger, </w:t>
      </w:r>
      <w:r>
        <w:t xml:space="preserve">se structurer, de soutenir l’essaimage d’une initiative existante ou bien d’aider le changement d’échelle de l'action. </w:t>
      </w:r>
    </w:p>
    <w:p w:rsidR="00146E8B" w:rsidRDefault="00146E8B">
      <w:pPr>
        <w:pStyle w:val="Paragraphedeliste"/>
        <w:ind w:left="1276"/>
        <w:jc w:val="both"/>
      </w:pPr>
    </w:p>
    <w:p w:rsidR="00146E8B" w:rsidRDefault="00146E8B">
      <w:pPr>
        <w:jc w:val="both"/>
      </w:pPr>
      <w:r>
        <w:t>Ces actions détailleront leurs composantes notamment en recherche et développement  et s'attacheront à déf</w:t>
      </w:r>
      <w:r w:rsidR="00F56852">
        <w:t>inir le modèle qui en sera issu</w:t>
      </w:r>
      <w:r w:rsidR="008D632E">
        <w:t xml:space="preserve"> et qui aura été éprouvé</w:t>
      </w:r>
      <w:r>
        <w:t>. Le jury observera avec attention la nature de la collaboration avec les équipes de recherche associées à l'action</w:t>
      </w:r>
      <w:r w:rsidR="00EF527D">
        <w:t>. L</w:t>
      </w:r>
      <w:r w:rsidR="005A21B3" w:rsidRPr="00F56852">
        <w:t>es services instructeurs de la Région renseigneront les porteurs de projet pour les éventuels besoins sur le sujet</w:t>
      </w:r>
      <w:r w:rsidRPr="00F56852">
        <w:t>.</w:t>
      </w:r>
    </w:p>
    <w:p w:rsidR="00146E8B" w:rsidRDefault="00146E8B">
      <w:pPr>
        <w:jc w:val="both"/>
      </w:pPr>
    </w:p>
    <w:p w:rsidR="00146E8B" w:rsidRDefault="00146E8B">
      <w:pPr>
        <w:jc w:val="both"/>
      </w:pPr>
      <w:r>
        <w:t>Le porteur de l'action et les bénéficiaires finaux de l’aide régionale devront être établis en Aquitaine</w:t>
      </w:r>
      <w:r w:rsidR="00EF527D">
        <w:t>.</w:t>
      </w:r>
    </w:p>
    <w:p w:rsidR="00D96983" w:rsidRDefault="00D96983">
      <w:pPr>
        <w:jc w:val="both"/>
      </w:pPr>
    </w:p>
    <w:p w:rsidR="00146E8B" w:rsidRDefault="00146E8B">
      <w:pPr>
        <w:jc w:val="both"/>
      </w:pPr>
    </w:p>
    <w:p w:rsidR="00D96983" w:rsidRDefault="00146E8B">
      <w:pPr>
        <w:jc w:val="both"/>
        <w:rPr>
          <w:b/>
          <w:sz w:val="26"/>
          <w:szCs w:val="26"/>
        </w:rPr>
      </w:pPr>
      <w:r>
        <w:rPr>
          <w:b/>
          <w:sz w:val="26"/>
          <w:szCs w:val="26"/>
        </w:rPr>
        <w:t xml:space="preserve">3- Bénéficiaires </w:t>
      </w:r>
    </w:p>
    <w:p w:rsidR="00146E8B" w:rsidRDefault="00146E8B">
      <w:pPr>
        <w:jc w:val="both"/>
      </w:pPr>
    </w:p>
    <w:p w:rsidR="00146E8B" w:rsidRDefault="00146E8B">
      <w:pPr>
        <w:jc w:val="both"/>
      </w:pPr>
      <w:r>
        <w:t>Sont éligibles les porteurs d'action suivants :</w:t>
      </w:r>
    </w:p>
    <w:p w:rsidR="00146E8B" w:rsidRDefault="00146E8B">
      <w:pPr>
        <w:jc w:val="both"/>
      </w:pPr>
    </w:p>
    <w:p w:rsidR="00146E8B" w:rsidRDefault="00146E8B">
      <w:pPr>
        <w:numPr>
          <w:ilvl w:val="0"/>
          <w:numId w:val="3"/>
        </w:numPr>
        <w:jc w:val="both"/>
      </w:pPr>
      <w:r>
        <w:t xml:space="preserve">Entreprises, quel que soit le statut </w:t>
      </w:r>
    </w:p>
    <w:p w:rsidR="00146E8B" w:rsidRDefault="00146E8B">
      <w:pPr>
        <w:numPr>
          <w:ilvl w:val="0"/>
          <w:numId w:val="3"/>
        </w:numPr>
        <w:jc w:val="both"/>
      </w:pPr>
      <w:r>
        <w:t>Associations</w:t>
      </w:r>
    </w:p>
    <w:p w:rsidR="00146E8B" w:rsidRDefault="00146E8B">
      <w:pPr>
        <w:numPr>
          <w:ilvl w:val="0"/>
          <w:numId w:val="3"/>
        </w:numPr>
        <w:jc w:val="both"/>
      </w:pPr>
      <w:r>
        <w:t>Collectivités territoriales, EPCI et autres établissements publics</w:t>
      </w:r>
    </w:p>
    <w:p w:rsidR="00146E8B" w:rsidRDefault="00146E8B">
      <w:pPr>
        <w:numPr>
          <w:ilvl w:val="0"/>
          <w:numId w:val="3"/>
        </w:numPr>
        <w:jc w:val="both"/>
      </w:pPr>
      <w:r>
        <w:t>Organisations syndicales, professionnelles</w:t>
      </w:r>
    </w:p>
    <w:p w:rsidR="00146E8B" w:rsidRDefault="00146E8B">
      <w:pPr>
        <w:numPr>
          <w:ilvl w:val="0"/>
          <w:numId w:val="3"/>
        </w:numPr>
        <w:jc w:val="both"/>
      </w:pPr>
      <w:r>
        <w:t xml:space="preserve">Collectifs d’usagers </w:t>
      </w:r>
    </w:p>
    <w:p w:rsidR="00D96983" w:rsidRDefault="00D96983" w:rsidP="00D96983">
      <w:pPr>
        <w:pStyle w:val="Paragraphedeliste"/>
        <w:ind w:left="720"/>
        <w:jc w:val="both"/>
        <w:rPr>
          <w:b/>
          <w:sz w:val="26"/>
          <w:szCs w:val="26"/>
        </w:rPr>
      </w:pPr>
    </w:p>
    <w:p w:rsidR="00D96983" w:rsidRPr="00D96983" w:rsidRDefault="00D96983" w:rsidP="00D96983">
      <w:pPr>
        <w:jc w:val="both"/>
        <w:rPr>
          <w:b/>
          <w:sz w:val="26"/>
          <w:szCs w:val="26"/>
        </w:rPr>
      </w:pPr>
      <w:r w:rsidRPr="00D96983">
        <w:rPr>
          <w:b/>
          <w:sz w:val="26"/>
          <w:szCs w:val="26"/>
        </w:rPr>
        <w:t>4 - Dépenses éligibles</w:t>
      </w:r>
    </w:p>
    <w:p w:rsidR="00146E8B" w:rsidRDefault="00146E8B">
      <w:pPr>
        <w:jc w:val="both"/>
      </w:pPr>
    </w:p>
    <w:p w:rsidR="00146E8B" w:rsidRDefault="00146E8B">
      <w:pPr>
        <w:jc w:val="both"/>
      </w:pPr>
      <w:r>
        <w:t xml:space="preserve">Les dépenses éligibles sont les dépenses </w:t>
      </w:r>
      <w:r w:rsidR="00256EB7">
        <w:t>de recherche et développement (</w:t>
      </w:r>
      <w:r w:rsidR="008D632E">
        <w:t xml:space="preserve">équipements, </w:t>
      </w:r>
      <w:r>
        <w:t xml:space="preserve">études, chercheurs,…), les dépenses d’étude et d’analyse, les frais de mission (transport, hébergement, restauration), le temps de travail passé au développement du projet. </w:t>
      </w:r>
    </w:p>
    <w:p w:rsidR="00D96983" w:rsidRDefault="00D96983">
      <w:pPr>
        <w:jc w:val="both"/>
      </w:pPr>
    </w:p>
    <w:p w:rsidR="00146E8B" w:rsidRDefault="00146E8B">
      <w:pPr>
        <w:jc w:val="both"/>
      </w:pPr>
    </w:p>
    <w:p w:rsidR="00146E8B" w:rsidRDefault="00D96983">
      <w:pPr>
        <w:pStyle w:val="Titre3"/>
        <w:spacing w:before="0" w:after="0"/>
      </w:pPr>
      <w:r>
        <w:t>5</w:t>
      </w:r>
      <w:r w:rsidR="00146E8B">
        <w:t xml:space="preserve"> – Modalités de réponse </w:t>
      </w:r>
    </w:p>
    <w:p w:rsidR="00146E8B" w:rsidRDefault="00146E8B">
      <w:pPr>
        <w:jc w:val="both"/>
      </w:pPr>
    </w:p>
    <w:p w:rsidR="00146E8B" w:rsidRDefault="00146E8B">
      <w:pPr>
        <w:jc w:val="both"/>
      </w:pPr>
      <w:r>
        <w:t xml:space="preserve">Pour répondre à cet AMI, les candidats devront rédiger un dossier en renseignant  les champs suivants : </w:t>
      </w:r>
    </w:p>
    <w:p w:rsidR="00146E8B" w:rsidRDefault="00146E8B">
      <w:pPr>
        <w:jc w:val="both"/>
      </w:pPr>
    </w:p>
    <w:p w:rsidR="00146E8B" w:rsidRDefault="00146E8B">
      <w:pPr>
        <w:numPr>
          <w:ilvl w:val="0"/>
          <w:numId w:val="11"/>
        </w:numPr>
        <w:jc w:val="both"/>
      </w:pPr>
      <w:r>
        <w:t>Fiche de présentation du porteur : Nom, statuts, bref historique, comptes annuels, description de la structure, de ses actionnaires ou adhérents, des bénéficiaires…</w:t>
      </w:r>
    </w:p>
    <w:p w:rsidR="00146E8B" w:rsidRDefault="00146E8B">
      <w:pPr>
        <w:numPr>
          <w:ilvl w:val="0"/>
          <w:numId w:val="11"/>
        </w:numPr>
        <w:jc w:val="both"/>
      </w:pPr>
      <w:r>
        <w:t>Historique de l’action</w:t>
      </w:r>
    </w:p>
    <w:p w:rsidR="00146E8B" w:rsidRDefault="00146E8B">
      <w:pPr>
        <w:numPr>
          <w:ilvl w:val="0"/>
          <w:numId w:val="11"/>
        </w:numPr>
        <w:jc w:val="both"/>
      </w:pPr>
      <w:r>
        <w:t xml:space="preserve">Résumé de l’action en 2 pages, catégorie d’innovation sociale dans laquelle le porteur estime qu'elle s’insère </w:t>
      </w:r>
    </w:p>
    <w:p w:rsidR="00146E8B" w:rsidRDefault="00146E8B">
      <w:pPr>
        <w:numPr>
          <w:ilvl w:val="0"/>
          <w:numId w:val="11"/>
        </w:numPr>
        <w:jc w:val="both"/>
      </w:pPr>
      <w:r>
        <w:t>Objectifs de l’action</w:t>
      </w:r>
    </w:p>
    <w:p w:rsidR="00146E8B" w:rsidRDefault="00146E8B">
      <w:pPr>
        <w:numPr>
          <w:ilvl w:val="0"/>
          <w:numId w:val="11"/>
        </w:numPr>
        <w:jc w:val="both"/>
      </w:pPr>
      <w:r>
        <w:t xml:space="preserve">Stade d’avancement : amorçage, développement, essaimage… </w:t>
      </w:r>
    </w:p>
    <w:p w:rsidR="00146E8B" w:rsidRDefault="00146E8B">
      <w:pPr>
        <w:numPr>
          <w:ilvl w:val="0"/>
          <w:numId w:val="11"/>
        </w:numPr>
        <w:jc w:val="both"/>
      </w:pPr>
      <w:r>
        <w:t>Publics cibles</w:t>
      </w:r>
    </w:p>
    <w:p w:rsidR="00146E8B" w:rsidRDefault="00146E8B">
      <w:pPr>
        <w:numPr>
          <w:ilvl w:val="0"/>
          <w:numId w:val="11"/>
        </w:numPr>
        <w:jc w:val="both"/>
      </w:pPr>
      <w:r>
        <w:lastRenderedPageBreak/>
        <w:t>Moyens mobilisés pour la réalisation : modalités de gouvernance, communication, ressources humaines ou financières, etc…</w:t>
      </w:r>
    </w:p>
    <w:p w:rsidR="00146E8B" w:rsidRDefault="00146E8B">
      <w:pPr>
        <w:numPr>
          <w:ilvl w:val="0"/>
          <w:numId w:val="11"/>
        </w:numPr>
        <w:jc w:val="both"/>
      </w:pPr>
      <w:r>
        <w:t>Comptes prévisionnels de l’action sur 12 mois</w:t>
      </w:r>
    </w:p>
    <w:p w:rsidR="00146E8B" w:rsidRDefault="00146E8B">
      <w:pPr>
        <w:numPr>
          <w:ilvl w:val="0"/>
          <w:numId w:val="11"/>
        </w:numPr>
        <w:jc w:val="both"/>
      </w:pPr>
      <w:r>
        <w:t xml:space="preserve">Partenariats, le cas échéant inscription dans un projet territorial </w:t>
      </w:r>
      <w:r w:rsidR="009E2C75">
        <w:t>(</w:t>
      </w:r>
      <w:r>
        <w:t>local</w:t>
      </w:r>
      <w:r w:rsidR="009E2C75">
        <w:t>, régional…)</w:t>
      </w:r>
    </w:p>
    <w:p w:rsidR="00146E8B" w:rsidRDefault="00146E8B">
      <w:pPr>
        <w:numPr>
          <w:ilvl w:val="0"/>
          <w:numId w:val="11"/>
        </w:numPr>
        <w:jc w:val="both"/>
      </w:pPr>
      <w:r>
        <w:t>Mission assignée à l’équipe de recherche</w:t>
      </w:r>
      <w:r w:rsidR="00624C54">
        <w:t xml:space="preserve"> au titre de l’innovation sociale</w:t>
      </w:r>
      <w:r>
        <w:t>, le cas échéant</w:t>
      </w:r>
    </w:p>
    <w:p w:rsidR="00146E8B" w:rsidRDefault="00146E8B">
      <w:pPr>
        <w:numPr>
          <w:ilvl w:val="0"/>
          <w:numId w:val="11"/>
        </w:numPr>
        <w:jc w:val="both"/>
      </w:pPr>
      <w:r>
        <w:t>Méthodologie d’évaluation envisagée</w:t>
      </w:r>
    </w:p>
    <w:p w:rsidR="00146E8B" w:rsidRDefault="00146E8B">
      <w:pPr>
        <w:autoSpaceDE w:val="0"/>
        <w:autoSpaceDN w:val="0"/>
        <w:adjustRightInd w:val="0"/>
        <w:rPr>
          <w:rFonts w:ascii="Calibri" w:hAnsi="Calibri" w:cs="Calibri"/>
          <w:sz w:val="24"/>
        </w:rPr>
      </w:pPr>
    </w:p>
    <w:p w:rsidR="00146E8B" w:rsidRDefault="00146E8B">
      <w:pPr>
        <w:pBdr>
          <w:top w:val="single" w:sz="4" w:space="1" w:color="auto"/>
          <w:left w:val="single" w:sz="4" w:space="4" w:color="auto"/>
          <w:bottom w:val="single" w:sz="4" w:space="1" w:color="auto"/>
          <w:right w:val="single" w:sz="4" w:space="4" w:color="auto"/>
        </w:pBdr>
        <w:rPr>
          <w:b/>
        </w:rPr>
      </w:pPr>
      <w:r>
        <w:rPr>
          <w:b/>
        </w:rPr>
        <w:t>Confidentialité :</w:t>
      </w:r>
    </w:p>
    <w:p w:rsidR="00146E8B" w:rsidRDefault="00146E8B">
      <w:pPr>
        <w:pBdr>
          <w:top w:val="single" w:sz="4" w:space="1" w:color="auto"/>
          <w:left w:val="single" w:sz="4" w:space="4" w:color="auto"/>
          <w:bottom w:val="single" w:sz="4" w:space="1" w:color="auto"/>
          <w:right w:val="single" w:sz="4" w:space="4" w:color="auto"/>
        </w:pBdr>
        <w:jc w:val="both"/>
      </w:pPr>
      <w:r>
        <w:t xml:space="preserve">Les réponses et documents transmis au Conseil régional d’Aquitaine dans le cadre de l'AMI seront soumis à la plus stricte confidentialité et ne seront communiqués que dans le cadre du </w:t>
      </w:r>
      <w:r w:rsidR="009E2C75">
        <w:t>jury</w:t>
      </w:r>
      <w:r>
        <w:t xml:space="preserve"> mis en place.</w:t>
      </w:r>
    </w:p>
    <w:p w:rsidR="00146E8B" w:rsidRDefault="00146E8B">
      <w:pPr>
        <w:pStyle w:val="Titre3"/>
        <w:spacing w:before="0" w:after="0"/>
      </w:pPr>
    </w:p>
    <w:p w:rsidR="00D96983" w:rsidRDefault="00D96983">
      <w:pPr>
        <w:pStyle w:val="Titre3"/>
        <w:spacing w:before="0" w:after="0"/>
      </w:pPr>
    </w:p>
    <w:p w:rsidR="00146E8B" w:rsidRDefault="00D96983">
      <w:pPr>
        <w:pStyle w:val="Titre3"/>
        <w:spacing w:before="0" w:after="0"/>
      </w:pPr>
      <w:r>
        <w:t>6</w:t>
      </w:r>
      <w:r w:rsidR="00146E8B">
        <w:t xml:space="preserve"> – Sélection et instruction des projets</w:t>
      </w:r>
    </w:p>
    <w:p w:rsidR="00146E8B" w:rsidRDefault="00146E8B">
      <w:pPr>
        <w:jc w:val="both"/>
      </w:pPr>
    </w:p>
    <w:p w:rsidR="00146E8B" w:rsidRDefault="00146E8B">
      <w:r>
        <w:t>Le jury sera attentif aux dimensions suivantes :</w:t>
      </w:r>
    </w:p>
    <w:p w:rsidR="00146E8B" w:rsidRDefault="00146E8B"/>
    <w:p w:rsidR="00146E8B" w:rsidRDefault="00146E8B">
      <w:pPr>
        <w:numPr>
          <w:ilvl w:val="0"/>
          <w:numId w:val="1"/>
        </w:numPr>
      </w:pPr>
      <w:r>
        <w:t>L’adéquation aux objectifs généraux de l’AMI,</w:t>
      </w:r>
    </w:p>
    <w:p w:rsidR="00146E8B" w:rsidRDefault="00146E8B">
      <w:pPr>
        <w:numPr>
          <w:ilvl w:val="0"/>
          <w:numId w:val="1"/>
        </w:numPr>
      </w:pPr>
      <w:r>
        <w:t>La qualité des partenariats mis en œuvre,</w:t>
      </w:r>
    </w:p>
    <w:p w:rsidR="00146E8B" w:rsidRDefault="00146E8B" w:rsidP="00FC6F89">
      <w:pPr>
        <w:numPr>
          <w:ilvl w:val="0"/>
          <w:numId w:val="1"/>
        </w:numPr>
      </w:pPr>
      <w:r>
        <w:t>La présentation précise  de l'action (</w:t>
      </w:r>
      <w:r w:rsidR="00B05754">
        <w:t xml:space="preserve">y compris les modalités de </w:t>
      </w:r>
      <w:r>
        <w:t>finance</w:t>
      </w:r>
      <w:r w:rsidR="00B05754">
        <w:t>ment et les</w:t>
      </w:r>
      <w:r>
        <w:t xml:space="preserve"> </w:t>
      </w:r>
      <w:r w:rsidR="00B05754">
        <w:t xml:space="preserve">budgets </w:t>
      </w:r>
      <w:r>
        <w:t>prévisionnels</w:t>
      </w:r>
      <w:r w:rsidR="00B05754">
        <w:t xml:space="preserve"> de l’action</w:t>
      </w:r>
      <w:r>
        <w:t>)</w:t>
      </w:r>
    </w:p>
    <w:p w:rsidR="00146E8B" w:rsidRDefault="00146E8B">
      <w:pPr>
        <w:numPr>
          <w:ilvl w:val="0"/>
          <w:numId w:val="1"/>
        </w:numPr>
      </w:pPr>
      <w:r>
        <w:t>La présentation du processus et la méthodologie d’évaluation adoptés,</w:t>
      </w:r>
    </w:p>
    <w:p w:rsidR="00146E8B" w:rsidRDefault="00146E8B">
      <w:pPr>
        <w:numPr>
          <w:ilvl w:val="0"/>
          <w:numId w:val="1"/>
        </w:numPr>
      </w:pPr>
      <w:r>
        <w:t xml:space="preserve">Les perspectives de développement, d’essaimage et de généralisation de l’innovation proposée, </w:t>
      </w:r>
    </w:p>
    <w:p w:rsidR="00146E8B" w:rsidRDefault="00146E8B">
      <w:pPr>
        <w:numPr>
          <w:ilvl w:val="0"/>
          <w:numId w:val="1"/>
        </w:numPr>
      </w:pPr>
      <w:r>
        <w:t>Les modalités d’évaluation de l'action prévues par le porteur,</w:t>
      </w:r>
    </w:p>
    <w:p w:rsidR="00146E8B" w:rsidRDefault="00146E8B">
      <w:pPr>
        <w:numPr>
          <w:ilvl w:val="0"/>
          <w:numId w:val="1"/>
        </w:numPr>
      </w:pPr>
      <w:r>
        <w:t>La qualité générale de la présentation</w:t>
      </w:r>
    </w:p>
    <w:p w:rsidR="00146E8B" w:rsidRDefault="00146E8B">
      <w:pPr>
        <w:jc w:val="both"/>
      </w:pPr>
    </w:p>
    <w:p w:rsidR="00146E8B" w:rsidRDefault="00146E8B">
      <w:pPr>
        <w:jc w:val="both"/>
      </w:pPr>
      <w:r>
        <w:t>Une première étape consistera en une analyse sur le fondement de critères génériques d’appréciation :</w:t>
      </w:r>
    </w:p>
    <w:p w:rsidR="00146E8B" w:rsidRDefault="00146E8B">
      <w:pPr>
        <w:ind w:left="720"/>
        <w:jc w:val="both"/>
      </w:pPr>
    </w:p>
    <w:p w:rsidR="00146E8B" w:rsidRDefault="00146E8B">
      <w:pPr>
        <w:numPr>
          <w:ilvl w:val="0"/>
          <w:numId w:val="1"/>
        </w:numPr>
        <w:jc w:val="both"/>
      </w:pPr>
      <w:r>
        <w:t>La méthodologie</w:t>
      </w:r>
      <w:r w:rsidR="00FC6F89">
        <w:t xml:space="preserve">, </w:t>
      </w:r>
      <w:r w:rsidR="008D632E">
        <w:t>débouchant</w:t>
      </w:r>
      <w:r w:rsidR="00FC6F89">
        <w:t xml:space="preserve"> sur</w:t>
      </w:r>
      <w:r>
        <w:t xml:space="preserve"> un modèle reproductible</w:t>
      </w:r>
    </w:p>
    <w:p w:rsidR="00146E8B" w:rsidRDefault="00146E8B">
      <w:pPr>
        <w:numPr>
          <w:ilvl w:val="0"/>
          <w:numId w:val="1"/>
        </w:numPr>
        <w:jc w:val="both"/>
      </w:pPr>
      <w:r>
        <w:t>Le processus partenarial</w:t>
      </w:r>
    </w:p>
    <w:p w:rsidR="00FC6F89" w:rsidRDefault="00FC6F89">
      <w:pPr>
        <w:numPr>
          <w:ilvl w:val="0"/>
          <w:numId w:val="1"/>
        </w:numPr>
        <w:jc w:val="both"/>
      </w:pPr>
      <w:r>
        <w:t>Adaptation à des besoins sur un territoire pertinent</w:t>
      </w:r>
    </w:p>
    <w:p w:rsidR="00FC6F89" w:rsidRDefault="00FC6F89">
      <w:pPr>
        <w:numPr>
          <w:ilvl w:val="0"/>
          <w:numId w:val="1"/>
        </w:numPr>
        <w:jc w:val="both"/>
      </w:pPr>
      <w:r>
        <w:t xml:space="preserve">L’implication des publics cibles </w:t>
      </w:r>
    </w:p>
    <w:p w:rsidR="00146E8B" w:rsidRDefault="00146E8B">
      <w:pPr>
        <w:numPr>
          <w:ilvl w:val="0"/>
          <w:numId w:val="1"/>
        </w:numPr>
        <w:jc w:val="both"/>
      </w:pPr>
      <w:r>
        <w:t>Les résultats attendus</w:t>
      </w:r>
    </w:p>
    <w:p w:rsidR="00146E8B" w:rsidRDefault="00146E8B">
      <w:pPr>
        <w:numPr>
          <w:ilvl w:val="0"/>
          <w:numId w:val="1"/>
        </w:numPr>
        <w:jc w:val="both"/>
      </w:pPr>
      <w:r>
        <w:t>Les impacts</w:t>
      </w:r>
    </w:p>
    <w:p w:rsidR="00146E8B" w:rsidRDefault="00146E8B">
      <w:pPr>
        <w:jc w:val="both"/>
      </w:pPr>
    </w:p>
    <w:p w:rsidR="00146E8B" w:rsidRDefault="00146E8B">
      <w:pPr>
        <w:jc w:val="both"/>
      </w:pPr>
      <w:r>
        <w:t>L’équipe projet</w:t>
      </w:r>
      <w:r w:rsidR="009E2C75">
        <w:t xml:space="preserve"> </w:t>
      </w:r>
      <w:r>
        <w:t>Innovation sociale</w:t>
      </w:r>
      <w:r w:rsidR="009E2C75">
        <w:t xml:space="preserve">, composée des services de la Région, </w:t>
      </w:r>
      <w:r>
        <w:t xml:space="preserve"> en charge de la réception et de l’instruction des actions veillera à leur adéquation avec les critères décrits ci-dessus. Son rôle est également </w:t>
      </w:r>
      <w:r>
        <w:rPr>
          <w:b/>
        </w:rPr>
        <w:t>d’accompagner les porteurs d'action</w:t>
      </w:r>
      <w:r>
        <w:t xml:space="preserve"> dans la démarche précédant le dépôt d’une candidature, pour ceux qui en exprimeraient le besoin.</w:t>
      </w:r>
    </w:p>
    <w:p w:rsidR="00146E8B" w:rsidRDefault="00146E8B">
      <w:pPr>
        <w:jc w:val="both"/>
      </w:pPr>
    </w:p>
    <w:p w:rsidR="00146E8B" w:rsidRDefault="00146E8B">
      <w:pPr>
        <w:jc w:val="both"/>
      </w:pPr>
      <w:r>
        <w:t>Après validation par le</w:t>
      </w:r>
      <w:r w:rsidR="00B05754">
        <w:t>s</w:t>
      </w:r>
      <w:r>
        <w:t xml:space="preserve"> service</w:t>
      </w:r>
      <w:r w:rsidR="00B05754">
        <w:t>s</w:t>
      </w:r>
      <w:r>
        <w:t xml:space="preserve">, les actions seront soumises au </w:t>
      </w:r>
      <w:r w:rsidR="009E2C75">
        <w:t xml:space="preserve">jury </w:t>
      </w:r>
      <w:r>
        <w:t>composé paritairement de représentants d’organisations partenaires de la Région en matière d’innovation sociale et territoriale et de représentants des services de la Région associés à la politique régionale d’encouragement de l’Innovation sociale.</w:t>
      </w:r>
    </w:p>
    <w:p w:rsidR="00146E8B" w:rsidRDefault="00146E8B">
      <w:pPr>
        <w:jc w:val="both"/>
      </w:pPr>
    </w:p>
    <w:p w:rsidR="00146E8B" w:rsidRDefault="00146E8B">
      <w:pPr>
        <w:jc w:val="both"/>
      </w:pPr>
      <w:r>
        <w:t xml:space="preserve">Ce comité remet un avis technique </w:t>
      </w:r>
      <w:r w:rsidR="005A21B3" w:rsidRPr="00F56852">
        <w:t>en s’appuyant sur la grille de lecture proposée en annexe</w:t>
      </w:r>
      <w:r w:rsidR="005A21B3">
        <w:t xml:space="preserve"> </w:t>
      </w:r>
      <w:r>
        <w:t>dont les conclusions sont présentées aux élus réunis en  Commission permanente (CP) pour attribution de l’aide prévue.</w:t>
      </w:r>
    </w:p>
    <w:p w:rsidR="00146E8B" w:rsidRDefault="00146E8B">
      <w:pPr>
        <w:jc w:val="both"/>
      </w:pPr>
    </w:p>
    <w:p w:rsidR="00146E8B" w:rsidRDefault="00146E8B">
      <w:pPr>
        <w:jc w:val="both"/>
      </w:pPr>
      <w:r>
        <w:lastRenderedPageBreak/>
        <w:t>Tous les porteurs de projets sont informés par écrit des conclusions du comité scientifique et d’appui et de la décision de la CP.</w:t>
      </w:r>
    </w:p>
    <w:p w:rsidR="00146E8B" w:rsidRDefault="00146E8B">
      <w:pPr>
        <w:jc w:val="both"/>
      </w:pPr>
    </w:p>
    <w:p w:rsidR="00146E8B" w:rsidRDefault="00146E8B">
      <w:pPr>
        <w:jc w:val="both"/>
      </w:pPr>
      <w:r>
        <w:t>Des auditions ponctuelles des candidats pourront être organisées, au besoin pour vérifier la bonne compréhension de l'action proposée, en approfondir certains aspects et répondre aux questions qu'elle pourrait soulever.</w:t>
      </w:r>
    </w:p>
    <w:p w:rsidR="00146E8B" w:rsidRDefault="00146E8B">
      <w:pPr>
        <w:jc w:val="both"/>
      </w:pPr>
    </w:p>
    <w:p w:rsidR="00146E8B" w:rsidRDefault="00146E8B">
      <w:pPr>
        <w:pBdr>
          <w:top w:val="single" w:sz="4" w:space="1" w:color="auto"/>
          <w:left w:val="single" w:sz="4" w:space="4" w:color="auto"/>
          <w:bottom w:val="single" w:sz="4" w:space="1" w:color="auto"/>
          <w:right w:val="single" w:sz="4" w:space="4" w:color="auto"/>
        </w:pBdr>
        <w:jc w:val="both"/>
      </w:pPr>
      <w:r>
        <w:t xml:space="preserve">L’AMI prendra fin le </w:t>
      </w:r>
      <w:r w:rsidR="00624C54">
        <w:rPr>
          <w:b/>
        </w:rPr>
        <w:t>29</w:t>
      </w:r>
      <w:r>
        <w:rPr>
          <w:b/>
        </w:rPr>
        <w:t xml:space="preserve"> </w:t>
      </w:r>
      <w:r w:rsidR="00624C54">
        <w:rPr>
          <w:b/>
        </w:rPr>
        <w:t>mai 2015</w:t>
      </w:r>
      <w:r w:rsidR="008F2392">
        <w:rPr>
          <w:b/>
        </w:rPr>
        <w:t>,</w:t>
      </w:r>
      <w:r w:rsidR="005A21B3">
        <w:rPr>
          <w:b/>
        </w:rPr>
        <w:t xml:space="preserve"> </w:t>
      </w:r>
      <w:r w:rsidR="005A21B3" w:rsidRPr="00F56852">
        <w:t xml:space="preserve">date à laquelle tous </w:t>
      </w:r>
      <w:r w:rsidR="00F56852">
        <w:t>les dossiers devront impérativement</w:t>
      </w:r>
      <w:r w:rsidR="005A21B3" w:rsidRPr="00F56852">
        <w:t xml:space="preserve"> être déposés</w:t>
      </w:r>
      <w:r w:rsidRPr="005A21B3">
        <w:t xml:space="preserve"> </w:t>
      </w:r>
      <w:r>
        <w:t>afin de permettre une instruction des dossiers et</w:t>
      </w:r>
      <w:r w:rsidR="00624C54">
        <w:t xml:space="preserve"> l’attribution des aides en 2015</w:t>
      </w:r>
      <w:r>
        <w:t xml:space="preserve">. </w:t>
      </w:r>
    </w:p>
    <w:p w:rsidR="00146E8B" w:rsidRDefault="00146E8B">
      <w:pPr>
        <w:jc w:val="both"/>
      </w:pPr>
    </w:p>
    <w:p w:rsidR="00D96983" w:rsidRDefault="00D96983">
      <w:pPr>
        <w:pStyle w:val="Titre3"/>
        <w:spacing w:before="0" w:after="0"/>
      </w:pPr>
    </w:p>
    <w:p w:rsidR="00146E8B" w:rsidRDefault="00D96983">
      <w:pPr>
        <w:pStyle w:val="Titre3"/>
        <w:spacing w:before="0" w:after="0"/>
      </w:pPr>
      <w:r>
        <w:t>7</w:t>
      </w:r>
      <w:r w:rsidR="00603111">
        <w:t xml:space="preserve"> – Modalités</w:t>
      </w:r>
      <w:r w:rsidR="00146E8B">
        <w:t xml:space="preserve"> de l’aide du Conseil régional</w:t>
      </w:r>
      <w:r w:rsidR="00603111">
        <w:t xml:space="preserve"> d’Aquitaine :</w:t>
      </w:r>
    </w:p>
    <w:p w:rsidR="00146E8B" w:rsidRDefault="00146E8B">
      <w:pPr>
        <w:jc w:val="both"/>
      </w:pPr>
    </w:p>
    <w:p w:rsidR="00146E8B" w:rsidRDefault="00146E8B">
      <w:pPr>
        <w:jc w:val="both"/>
      </w:pPr>
      <w:r>
        <w:t xml:space="preserve">L’aide intervient pour accompagner </w:t>
      </w:r>
      <w:r w:rsidR="008D632E">
        <w:t>l’action et l</w:t>
      </w:r>
      <w:r>
        <w:t>es travaux de recherches associés.</w:t>
      </w:r>
    </w:p>
    <w:p w:rsidR="00146E8B" w:rsidRDefault="00146E8B">
      <w:pPr>
        <w:jc w:val="both"/>
      </w:pPr>
    </w:p>
    <w:p w:rsidR="00603111" w:rsidRDefault="009E2C75" w:rsidP="00603111">
      <w:pPr>
        <w:jc w:val="both"/>
      </w:pPr>
      <w:r>
        <w:t>L</w:t>
      </w:r>
      <w:r w:rsidR="00146E8B">
        <w:t xml:space="preserve">’aide régionale </w:t>
      </w:r>
      <w:r>
        <w:t>est plafonnée</w:t>
      </w:r>
      <w:r w:rsidR="00603111">
        <w:t xml:space="preserve"> à un montant maximum de 40 000 euros.</w:t>
      </w:r>
    </w:p>
    <w:p w:rsidR="00146E8B" w:rsidRDefault="00146E8B">
      <w:pPr>
        <w:jc w:val="both"/>
      </w:pPr>
    </w:p>
    <w:p w:rsidR="00146E8B" w:rsidRDefault="00146E8B">
      <w:pPr>
        <w:jc w:val="both"/>
      </w:pPr>
      <w:r>
        <w:t>Le jury appréciera la destination de l’aide financière sollicitée par le porteur.</w:t>
      </w:r>
    </w:p>
    <w:p w:rsidR="00146E8B" w:rsidRDefault="00146E8B">
      <w:pPr>
        <w:jc w:val="both"/>
      </w:pPr>
    </w:p>
    <w:p w:rsidR="00FC6F89" w:rsidRDefault="00FC6F89" w:rsidP="005103C2">
      <w:pPr>
        <w:jc w:val="both"/>
      </w:pPr>
      <w:r>
        <w:t>L’aide du Conseil régional s’applique à des dépenses effectuées pendant une période</w:t>
      </w:r>
      <w:r w:rsidR="002E4F1B">
        <w:t xml:space="preserve"> </w:t>
      </w:r>
      <w:r w:rsidR="002E4F1B" w:rsidRPr="00F56852">
        <w:t>maximale</w:t>
      </w:r>
      <w:r w:rsidR="002E4F1B">
        <w:t xml:space="preserve"> </w:t>
      </w:r>
      <w:r>
        <w:t xml:space="preserve"> de 12 mois consécutifs</w:t>
      </w:r>
      <w:r w:rsidR="009E2C75">
        <w:t xml:space="preserve"> à compter de la date de démarrage de l’action</w:t>
      </w:r>
      <w:r>
        <w:t xml:space="preserve">. </w:t>
      </w:r>
    </w:p>
    <w:p w:rsidR="00FC6F89" w:rsidRDefault="00FC6F89"/>
    <w:p w:rsidR="00146E8B" w:rsidRDefault="00603111">
      <w:pPr>
        <w:jc w:val="both"/>
      </w:pPr>
      <w:r>
        <w:t>L’aide sera</w:t>
      </w:r>
      <w:r w:rsidR="00146E8B">
        <w:t xml:space="preserve"> versée en deux fois : 70% au démarrage et 30% à la remise du bilan de la première année.</w:t>
      </w:r>
    </w:p>
    <w:p w:rsidR="00146E8B" w:rsidRDefault="00146E8B">
      <w:pPr>
        <w:jc w:val="both"/>
      </w:pPr>
    </w:p>
    <w:p w:rsidR="009714DA" w:rsidRDefault="009714DA">
      <w:pPr>
        <w:jc w:val="both"/>
      </w:pPr>
    </w:p>
    <w:p w:rsidR="009714DA" w:rsidRDefault="009714DA">
      <w:pPr>
        <w:jc w:val="both"/>
      </w:pPr>
    </w:p>
    <w:p w:rsidR="009714DA" w:rsidRDefault="009714DA">
      <w:pPr>
        <w:jc w:val="both"/>
      </w:pPr>
    </w:p>
    <w:p w:rsidR="00146E8B" w:rsidRDefault="00146E8B">
      <w:pPr>
        <w:pStyle w:val="Titre3"/>
        <w:spacing w:before="0" w:after="0"/>
        <w:jc w:val="center"/>
      </w:pPr>
      <w:r>
        <w:t>Contact et renseignements</w:t>
      </w:r>
    </w:p>
    <w:p w:rsidR="00146E8B" w:rsidRDefault="00146E8B"/>
    <w:p w:rsidR="00146E8B" w:rsidRDefault="00146E8B">
      <w:pPr>
        <w:rPr>
          <w:rFonts w:cs="Arial"/>
          <w:b/>
          <w:bCs/>
          <w:sz w:val="26"/>
          <w:szCs w:val="26"/>
        </w:rPr>
      </w:pPr>
      <w:r>
        <w:t>Pour plus d’informations concernant l’AMI, vous pouvez prendre contact avec :</w:t>
      </w:r>
    </w:p>
    <w:p w:rsidR="00146E8B" w:rsidRDefault="00146E8B"/>
    <w:p w:rsidR="005B500F" w:rsidRDefault="005718C1">
      <w:pPr>
        <w:pBdr>
          <w:top w:val="single" w:sz="4" w:space="1" w:color="auto"/>
          <w:left w:val="single" w:sz="4" w:space="4" w:color="auto"/>
          <w:bottom w:val="single" w:sz="4" w:space="1" w:color="auto"/>
          <w:right w:val="single" w:sz="4" w:space="4" w:color="auto"/>
        </w:pBdr>
        <w:jc w:val="center"/>
        <w:rPr>
          <w:color w:val="0000FF"/>
        </w:rPr>
      </w:pPr>
      <w:hyperlink r:id="rId9" w:history="1">
        <w:r w:rsidR="005B500F" w:rsidRPr="00540837">
          <w:rPr>
            <w:rStyle w:val="Lienhypertexte"/>
          </w:rPr>
          <w:t>ami.is@aquitaine.fr</w:t>
        </w:r>
      </w:hyperlink>
    </w:p>
    <w:p w:rsidR="00146E8B" w:rsidRDefault="00624C54">
      <w:pPr>
        <w:pBdr>
          <w:top w:val="single" w:sz="4" w:space="1" w:color="auto"/>
          <w:left w:val="single" w:sz="4" w:space="4" w:color="auto"/>
          <w:bottom w:val="single" w:sz="4" w:space="1" w:color="auto"/>
          <w:right w:val="single" w:sz="4" w:space="4" w:color="auto"/>
        </w:pBdr>
        <w:jc w:val="center"/>
      </w:pPr>
      <w:r>
        <w:t>05 56 56</w:t>
      </w:r>
      <w:r w:rsidR="00146E8B">
        <w:t xml:space="preserve"> 38 75 </w:t>
      </w:r>
    </w:p>
    <w:p w:rsidR="00146E8B" w:rsidRDefault="00146E8B"/>
    <w:p w:rsidR="00146E8B" w:rsidRDefault="00146E8B">
      <w:r>
        <w:t>Les dossiers devront faire l’objet d’une saisine du Conseil régional par courrier adressé à :</w:t>
      </w:r>
    </w:p>
    <w:p w:rsidR="00146E8B" w:rsidRDefault="00146E8B"/>
    <w:p w:rsidR="00146E8B" w:rsidRDefault="00146E8B">
      <w:pPr>
        <w:jc w:val="center"/>
      </w:pPr>
      <w:r>
        <w:t>M. Le Président du Conseil régional d’Aquitaine</w:t>
      </w:r>
    </w:p>
    <w:p w:rsidR="00146E8B" w:rsidRDefault="00146E8B">
      <w:pPr>
        <w:jc w:val="center"/>
      </w:pPr>
      <w:r>
        <w:t>«AMI Innovation sociale»</w:t>
      </w:r>
    </w:p>
    <w:p w:rsidR="00146E8B" w:rsidRDefault="00146E8B">
      <w:pPr>
        <w:jc w:val="center"/>
      </w:pPr>
      <w:r>
        <w:t xml:space="preserve">A l’attention de </w:t>
      </w:r>
      <w:smartTag w:uri="urn:schemas-microsoft-com:office:smarttags" w:element="PersonName">
        <w:smartTagPr>
          <w:attr w:name="ProductID" w:val="la Direction"/>
        </w:smartTagPr>
        <w:r>
          <w:t>la Direction</w:t>
        </w:r>
      </w:smartTag>
      <w:r>
        <w:t xml:space="preserve"> des Petites entreprises et de l’Economie solidaire – Service ESS</w:t>
      </w:r>
    </w:p>
    <w:p w:rsidR="00146E8B" w:rsidRDefault="00146E8B">
      <w:pPr>
        <w:jc w:val="center"/>
      </w:pPr>
      <w:r>
        <w:t>14, rue François de Sourdis, 33077 Bordeaux</w:t>
      </w:r>
    </w:p>
    <w:p w:rsidR="00146E8B" w:rsidRDefault="00146E8B">
      <w:pPr>
        <w:jc w:val="center"/>
      </w:pPr>
    </w:p>
    <w:p w:rsidR="00146E8B" w:rsidRDefault="00146E8B">
      <w:pPr>
        <w:pStyle w:val="Titre2"/>
      </w:pPr>
      <w:r>
        <w:br w:type="page"/>
      </w:r>
      <w:r>
        <w:lastRenderedPageBreak/>
        <w:t>Annexe </w:t>
      </w:r>
      <w:r w:rsidR="00D96983">
        <w:t>1</w:t>
      </w:r>
      <w:r>
        <w:t>: Grille de lecture / évaluation des actions pour le jury</w:t>
      </w:r>
    </w:p>
    <w:p w:rsidR="00146E8B" w:rsidRDefault="00146E8B">
      <w:pPr>
        <w:jc w:val="both"/>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1843"/>
        <w:gridCol w:w="1984"/>
        <w:gridCol w:w="2693"/>
      </w:tblGrid>
      <w:tr w:rsidR="009714DA" w:rsidTr="009714DA">
        <w:tc>
          <w:tcPr>
            <w:tcW w:w="1985" w:type="dxa"/>
            <w:shd w:val="clear" w:color="auto" w:fill="auto"/>
          </w:tcPr>
          <w:p w:rsidR="009714DA" w:rsidRDefault="009714DA">
            <w:pPr>
              <w:rPr>
                <w:rFonts w:cs="Arial"/>
                <w:b/>
                <w:sz w:val="18"/>
                <w:szCs w:val="18"/>
              </w:rPr>
            </w:pPr>
            <w:r>
              <w:rPr>
                <w:rFonts w:cs="Arial"/>
                <w:b/>
                <w:sz w:val="18"/>
                <w:szCs w:val="18"/>
              </w:rPr>
              <w:t>Repères \ pondération</w:t>
            </w:r>
          </w:p>
        </w:tc>
        <w:tc>
          <w:tcPr>
            <w:tcW w:w="1701" w:type="dxa"/>
            <w:shd w:val="clear" w:color="auto" w:fill="auto"/>
          </w:tcPr>
          <w:p w:rsidR="009714DA" w:rsidRDefault="009714DA" w:rsidP="009714DA">
            <w:pPr>
              <w:jc w:val="center"/>
              <w:rPr>
                <w:rFonts w:cs="Arial"/>
                <w:b/>
                <w:sz w:val="18"/>
                <w:szCs w:val="18"/>
              </w:rPr>
            </w:pPr>
            <w:r>
              <w:rPr>
                <w:rFonts w:cs="Arial"/>
                <w:b/>
                <w:sz w:val="18"/>
                <w:szCs w:val="18"/>
              </w:rPr>
              <w:t>0</w:t>
            </w:r>
          </w:p>
        </w:tc>
        <w:tc>
          <w:tcPr>
            <w:tcW w:w="1843" w:type="dxa"/>
            <w:shd w:val="clear" w:color="auto" w:fill="auto"/>
          </w:tcPr>
          <w:p w:rsidR="009714DA" w:rsidRDefault="009714DA" w:rsidP="009714DA">
            <w:pPr>
              <w:jc w:val="center"/>
              <w:rPr>
                <w:rFonts w:cs="Arial"/>
                <w:b/>
                <w:sz w:val="18"/>
                <w:szCs w:val="18"/>
              </w:rPr>
            </w:pPr>
            <w:r>
              <w:rPr>
                <w:rFonts w:cs="Arial"/>
                <w:b/>
                <w:sz w:val="18"/>
                <w:szCs w:val="18"/>
              </w:rPr>
              <w:t>1</w:t>
            </w:r>
          </w:p>
        </w:tc>
        <w:tc>
          <w:tcPr>
            <w:tcW w:w="1984" w:type="dxa"/>
            <w:shd w:val="clear" w:color="auto" w:fill="auto"/>
          </w:tcPr>
          <w:p w:rsidR="009714DA" w:rsidRDefault="009714DA" w:rsidP="009714DA">
            <w:pPr>
              <w:jc w:val="center"/>
              <w:rPr>
                <w:rFonts w:cs="Arial"/>
                <w:b/>
                <w:sz w:val="18"/>
                <w:szCs w:val="18"/>
              </w:rPr>
            </w:pPr>
            <w:r>
              <w:rPr>
                <w:rFonts w:cs="Arial"/>
                <w:b/>
                <w:sz w:val="18"/>
                <w:szCs w:val="18"/>
              </w:rPr>
              <w:t>2</w:t>
            </w:r>
          </w:p>
        </w:tc>
        <w:tc>
          <w:tcPr>
            <w:tcW w:w="2693" w:type="dxa"/>
            <w:shd w:val="clear" w:color="auto" w:fill="auto"/>
          </w:tcPr>
          <w:p w:rsidR="009714DA" w:rsidRDefault="009714DA" w:rsidP="009714DA">
            <w:pPr>
              <w:jc w:val="center"/>
              <w:rPr>
                <w:rFonts w:cs="Arial"/>
                <w:b/>
                <w:sz w:val="18"/>
                <w:szCs w:val="18"/>
              </w:rPr>
            </w:pPr>
            <w:r>
              <w:rPr>
                <w:rFonts w:cs="Arial"/>
                <w:b/>
                <w:sz w:val="18"/>
                <w:szCs w:val="18"/>
              </w:rPr>
              <w:t>3</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Place des bénéficiaires</w:t>
            </w:r>
          </w:p>
        </w:tc>
        <w:tc>
          <w:tcPr>
            <w:tcW w:w="1701" w:type="dxa"/>
            <w:shd w:val="clear" w:color="auto" w:fill="auto"/>
          </w:tcPr>
          <w:p w:rsidR="009714DA" w:rsidRDefault="009714DA">
            <w:pPr>
              <w:rPr>
                <w:rFonts w:cs="Arial"/>
                <w:sz w:val="18"/>
                <w:szCs w:val="18"/>
              </w:rPr>
            </w:pPr>
            <w:r>
              <w:rPr>
                <w:rFonts w:cs="Arial"/>
                <w:sz w:val="18"/>
                <w:szCs w:val="18"/>
              </w:rPr>
              <w:t>Pas associés à la démarche</w:t>
            </w:r>
          </w:p>
        </w:tc>
        <w:tc>
          <w:tcPr>
            <w:tcW w:w="1843" w:type="dxa"/>
            <w:shd w:val="clear" w:color="auto" w:fill="auto"/>
          </w:tcPr>
          <w:p w:rsidR="009714DA" w:rsidRDefault="009714DA" w:rsidP="009714DA">
            <w:pPr>
              <w:rPr>
                <w:rFonts w:cs="Arial"/>
                <w:sz w:val="18"/>
                <w:szCs w:val="18"/>
              </w:rPr>
            </w:pPr>
            <w:r>
              <w:rPr>
                <w:rFonts w:cs="Arial"/>
                <w:sz w:val="18"/>
                <w:szCs w:val="18"/>
              </w:rPr>
              <w:t xml:space="preserve">Peu associés à la démarche de construction et de mise en œuvre </w:t>
            </w:r>
          </w:p>
        </w:tc>
        <w:tc>
          <w:tcPr>
            <w:tcW w:w="1984" w:type="dxa"/>
            <w:shd w:val="clear" w:color="auto" w:fill="auto"/>
          </w:tcPr>
          <w:p w:rsidR="009714DA" w:rsidRDefault="009714DA" w:rsidP="009714DA">
            <w:pPr>
              <w:rPr>
                <w:rFonts w:cs="Arial"/>
                <w:sz w:val="18"/>
                <w:szCs w:val="18"/>
              </w:rPr>
            </w:pPr>
            <w:r>
              <w:rPr>
                <w:rFonts w:cs="Arial"/>
                <w:sz w:val="18"/>
                <w:szCs w:val="18"/>
              </w:rPr>
              <w:t xml:space="preserve">Associés dès le départ (identification, </w:t>
            </w:r>
            <w:proofErr w:type="spellStart"/>
            <w:r>
              <w:rPr>
                <w:rFonts w:cs="Arial"/>
                <w:sz w:val="18"/>
                <w:szCs w:val="18"/>
              </w:rPr>
              <w:t>co</w:t>
            </w:r>
            <w:proofErr w:type="spellEnd"/>
            <w:r>
              <w:rPr>
                <w:rFonts w:cs="Arial"/>
                <w:sz w:val="18"/>
                <w:szCs w:val="18"/>
              </w:rPr>
              <w:t>-construction de la réponse, de l’action).</w:t>
            </w:r>
          </w:p>
        </w:tc>
        <w:tc>
          <w:tcPr>
            <w:tcW w:w="2693" w:type="dxa"/>
            <w:shd w:val="clear" w:color="auto" w:fill="auto"/>
          </w:tcPr>
          <w:p w:rsidR="009714DA" w:rsidRDefault="009714DA">
            <w:pPr>
              <w:rPr>
                <w:rFonts w:cs="Arial"/>
                <w:sz w:val="18"/>
                <w:szCs w:val="18"/>
              </w:rPr>
            </w:pPr>
            <w:r>
              <w:rPr>
                <w:rFonts w:cs="Arial"/>
                <w:sz w:val="18"/>
                <w:szCs w:val="18"/>
              </w:rPr>
              <w:t xml:space="preserve">Ils sont à l’origine (ou en partie à l’origine) de la démarche et </w:t>
            </w:r>
            <w:proofErr w:type="spellStart"/>
            <w:r>
              <w:rPr>
                <w:rFonts w:cs="Arial"/>
                <w:sz w:val="18"/>
                <w:szCs w:val="18"/>
              </w:rPr>
              <w:t>co</w:t>
            </w:r>
            <w:proofErr w:type="spellEnd"/>
            <w:r>
              <w:rPr>
                <w:rFonts w:cs="Arial"/>
                <w:sz w:val="18"/>
                <w:szCs w:val="18"/>
              </w:rPr>
              <w:t xml:space="preserve"> élaborent la mise en œuvre.</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Nature du collectif</w:t>
            </w:r>
          </w:p>
        </w:tc>
        <w:tc>
          <w:tcPr>
            <w:tcW w:w="1701" w:type="dxa"/>
            <w:shd w:val="clear" w:color="auto" w:fill="auto"/>
          </w:tcPr>
          <w:p w:rsidR="009714DA" w:rsidRDefault="009714DA">
            <w:pPr>
              <w:rPr>
                <w:rFonts w:cs="Arial"/>
                <w:sz w:val="18"/>
                <w:szCs w:val="18"/>
              </w:rPr>
            </w:pPr>
            <w:r>
              <w:rPr>
                <w:rFonts w:cs="Arial"/>
                <w:sz w:val="18"/>
                <w:szCs w:val="18"/>
              </w:rPr>
              <w:t xml:space="preserve">Peu de mixité du collectif. </w:t>
            </w:r>
          </w:p>
        </w:tc>
        <w:tc>
          <w:tcPr>
            <w:tcW w:w="1843" w:type="dxa"/>
            <w:shd w:val="clear" w:color="auto" w:fill="auto"/>
          </w:tcPr>
          <w:p w:rsidR="009714DA" w:rsidRDefault="009714DA">
            <w:pPr>
              <w:rPr>
                <w:rFonts w:cs="Arial"/>
                <w:sz w:val="18"/>
                <w:szCs w:val="18"/>
              </w:rPr>
            </w:pPr>
            <w:r>
              <w:rPr>
                <w:rFonts w:cs="Arial"/>
                <w:sz w:val="18"/>
                <w:szCs w:val="18"/>
              </w:rPr>
              <w:t xml:space="preserve">La richesse du collectif est faiblement présente. </w:t>
            </w:r>
          </w:p>
        </w:tc>
        <w:tc>
          <w:tcPr>
            <w:tcW w:w="1984" w:type="dxa"/>
            <w:shd w:val="clear" w:color="auto" w:fill="auto"/>
          </w:tcPr>
          <w:p w:rsidR="009714DA" w:rsidRDefault="009714DA" w:rsidP="009714DA">
            <w:pPr>
              <w:rPr>
                <w:rFonts w:cs="Arial"/>
                <w:sz w:val="18"/>
                <w:szCs w:val="18"/>
              </w:rPr>
            </w:pPr>
            <w:r>
              <w:rPr>
                <w:rFonts w:cs="Arial"/>
                <w:sz w:val="18"/>
                <w:szCs w:val="18"/>
              </w:rPr>
              <w:t xml:space="preserve">La pluralité du collectif est assez bien prise en compte, assez présente dans le projet. </w:t>
            </w:r>
          </w:p>
        </w:tc>
        <w:tc>
          <w:tcPr>
            <w:tcW w:w="2693" w:type="dxa"/>
            <w:shd w:val="clear" w:color="auto" w:fill="auto"/>
          </w:tcPr>
          <w:p w:rsidR="009714DA" w:rsidRDefault="009714DA" w:rsidP="00603111">
            <w:pPr>
              <w:rPr>
                <w:rFonts w:cs="Arial"/>
                <w:sz w:val="18"/>
                <w:szCs w:val="18"/>
              </w:rPr>
            </w:pPr>
            <w:r>
              <w:rPr>
                <w:rFonts w:cs="Arial"/>
                <w:sz w:val="18"/>
                <w:szCs w:val="18"/>
              </w:rPr>
              <w:t xml:space="preserve">Prise en compte de la pluralité du collectif : public et privé, genre, âges… en tant que diversité pertinente pour la démarche. </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Intervention du collectif</w:t>
            </w:r>
          </w:p>
        </w:tc>
        <w:tc>
          <w:tcPr>
            <w:tcW w:w="1701" w:type="dxa"/>
            <w:shd w:val="clear" w:color="auto" w:fill="auto"/>
          </w:tcPr>
          <w:p w:rsidR="009714DA" w:rsidRDefault="009714DA">
            <w:pPr>
              <w:rPr>
                <w:rFonts w:cs="Arial"/>
                <w:sz w:val="18"/>
                <w:szCs w:val="18"/>
              </w:rPr>
            </w:pPr>
            <w:r>
              <w:rPr>
                <w:rFonts w:cs="Arial"/>
                <w:sz w:val="18"/>
                <w:szCs w:val="18"/>
              </w:rPr>
              <w:t>Le collectif est peu présent dans les étapes de la démarche.</w:t>
            </w:r>
          </w:p>
        </w:tc>
        <w:tc>
          <w:tcPr>
            <w:tcW w:w="1843" w:type="dxa"/>
            <w:shd w:val="clear" w:color="auto" w:fill="auto"/>
          </w:tcPr>
          <w:p w:rsidR="009714DA" w:rsidRDefault="009714DA" w:rsidP="005B77A1">
            <w:pPr>
              <w:rPr>
                <w:rFonts w:cs="Arial"/>
                <w:sz w:val="18"/>
                <w:szCs w:val="18"/>
              </w:rPr>
            </w:pPr>
            <w:r>
              <w:rPr>
                <w:rFonts w:cs="Arial"/>
                <w:sz w:val="18"/>
                <w:szCs w:val="18"/>
              </w:rPr>
              <w:t>Le collectif est présent à certaines étapes uniquement, son rôle dans la démarc</w:t>
            </w:r>
            <w:r w:rsidR="005B77A1">
              <w:rPr>
                <w:rFonts w:cs="Arial"/>
                <w:sz w:val="18"/>
                <w:szCs w:val="18"/>
              </w:rPr>
              <w:t xml:space="preserve">he n’est pas bien défini. </w:t>
            </w:r>
          </w:p>
        </w:tc>
        <w:tc>
          <w:tcPr>
            <w:tcW w:w="1984" w:type="dxa"/>
            <w:shd w:val="clear" w:color="auto" w:fill="auto"/>
          </w:tcPr>
          <w:p w:rsidR="009714DA" w:rsidRDefault="009714DA">
            <w:pPr>
              <w:rPr>
                <w:rFonts w:cs="Arial"/>
                <w:sz w:val="18"/>
                <w:szCs w:val="18"/>
              </w:rPr>
            </w:pPr>
            <w:r>
              <w:rPr>
                <w:rFonts w:cs="Arial"/>
                <w:sz w:val="18"/>
                <w:szCs w:val="18"/>
              </w:rPr>
              <w:t xml:space="preserve">La présence </w:t>
            </w:r>
            <w:r w:rsidR="00603111">
              <w:rPr>
                <w:rFonts w:cs="Arial"/>
                <w:sz w:val="18"/>
                <w:szCs w:val="18"/>
              </w:rPr>
              <w:t>du collectif est réelle mais pa</w:t>
            </w:r>
            <w:r>
              <w:rPr>
                <w:rFonts w:cs="Arial"/>
                <w:sz w:val="18"/>
                <w:szCs w:val="18"/>
              </w:rPr>
              <w:t>s forcément très bien formalisée.</w:t>
            </w:r>
          </w:p>
        </w:tc>
        <w:tc>
          <w:tcPr>
            <w:tcW w:w="2693" w:type="dxa"/>
            <w:shd w:val="clear" w:color="auto" w:fill="auto"/>
          </w:tcPr>
          <w:p w:rsidR="009714DA" w:rsidRDefault="009714DA">
            <w:pPr>
              <w:rPr>
                <w:rFonts w:cs="Arial"/>
                <w:sz w:val="18"/>
                <w:szCs w:val="18"/>
              </w:rPr>
            </w:pPr>
            <w:r>
              <w:rPr>
                <w:rFonts w:cs="Arial"/>
                <w:sz w:val="18"/>
                <w:szCs w:val="18"/>
              </w:rPr>
              <w:t>Le collectif est présent et actif à chaque étape identifiée du projet, y compris dans la démarche de diffusion, de faire- savoir, de transfert.</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Place de la recherche</w:t>
            </w:r>
          </w:p>
        </w:tc>
        <w:tc>
          <w:tcPr>
            <w:tcW w:w="1701" w:type="dxa"/>
            <w:shd w:val="clear" w:color="auto" w:fill="auto"/>
          </w:tcPr>
          <w:p w:rsidR="009714DA" w:rsidRDefault="009714DA">
            <w:pPr>
              <w:rPr>
                <w:rFonts w:cs="Arial"/>
                <w:sz w:val="18"/>
                <w:szCs w:val="18"/>
              </w:rPr>
            </w:pPr>
            <w:r>
              <w:rPr>
                <w:rFonts w:cs="Arial"/>
                <w:sz w:val="18"/>
                <w:szCs w:val="18"/>
              </w:rPr>
              <w:t xml:space="preserve">Aucune recherche n’a été ou n’est envisagée dans le déroulé du projet. </w:t>
            </w:r>
          </w:p>
        </w:tc>
        <w:tc>
          <w:tcPr>
            <w:tcW w:w="1843" w:type="dxa"/>
            <w:shd w:val="clear" w:color="auto" w:fill="auto"/>
          </w:tcPr>
          <w:p w:rsidR="009714DA" w:rsidRDefault="009714DA">
            <w:pPr>
              <w:rPr>
                <w:rFonts w:cs="Arial"/>
                <w:sz w:val="18"/>
                <w:szCs w:val="18"/>
              </w:rPr>
            </w:pPr>
            <w:r>
              <w:rPr>
                <w:rFonts w:cs="Arial"/>
                <w:sz w:val="18"/>
                <w:szCs w:val="18"/>
              </w:rPr>
              <w:t xml:space="preserve">Intention mais pas de réflexion très formalisée sur la question. </w:t>
            </w:r>
          </w:p>
        </w:tc>
        <w:tc>
          <w:tcPr>
            <w:tcW w:w="1984" w:type="dxa"/>
            <w:shd w:val="clear" w:color="auto" w:fill="auto"/>
          </w:tcPr>
          <w:p w:rsidR="009714DA" w:rsidRDefault="009714DA">
            <w:pPr>
              <w:rPr>
                <w:rFonts w:cs="Arial"/>
                <w:sz w:val="18"/>
                <w:szCs w:val="18"/>
              </w:rPr>
            </w:pPr>
            <w:r>
              <w:rPr>
                <w:rFonts w:cs="Arial"/>
                <w:sz w:val="18"/>
                <w:szCs w:val="18"/>
              </w:rPr>
              <w:t>Le projet a ou va intégrer une démarche de type recherche, qu’il est capable de formaliser.</w:t>
            </w:r>
          </w:p>
        </w:tc>
        <w:tc>
          <w:tcPr>
            <w:tcW w:w="2693" w:type="dxa"/>
            <w:shd w:val="clear" w:color="auto" w:fill="auto"/>
          </w:tcPr>
          <w:p w:rsidR="009714DA" w:rsidRDefault="009714DA">
            <w:pPr>
              <w:rPr>
                <w:rFonts w:cs="Arial"/>
                <w:sz w:val="18"/>
                <w:szCs w:val="18"/>
              </w:rPr>
            </w:pPr>
            <w:r>
              <w:rPr>
                <w:rFonts w:cs="Arial"/>
                <w:sz w:val="18"/>
                <w:szCs w:val="18"/>
              </w:rPr>
              <w:t xml:space="preserve">Le projet intègre la démarche de la recherche : expérimentation / évaluation / adaptation, et des chercheurs. </w:t>
            </w:r>
          </w:p>
        </w:tc>
      </w:tr>
      <w:tr w:rsidR="009714DA" w:rsidTr="009714DA">
        <w:tc>
          <w:tcPr>
            <w:tcW w:w="1985" w:type="dxa"/>
            <w:shd w:val="clear" w:color="auto" w:fill="auto"/>
          </w:tcPr>
          <w:p w:rsidR="009714DA" w:rsidRDefault="009714DA" w:rsidP="009714DA">
            <w:pPr>
              <w:rPr>
                <w:rFonts w:cs="Arial"/>
                <w:b/>
                <w:sz w:val="18"/>
                <w:szCs w:val="18"/>
              </w:rPr>
            </w:pPr>
            <w:r>
              <w:rPr>
                <w:rFonts w:cs="Arial"/>
                <w:b/>
                <w:sz w:val="18"/>
                <w:szCs w:val="18"/>
              </w:rPr>
              <w:t>Ancrage territorial</w:t>
            </w:r>
          </w:p>
        </w:tc>
        <w:tc>
          <w:tcPr>
            <w:tcW w:w="1701" w:type="dxa"/>
            <w:shd w:val="clear" w:color="auto" w:fill="auto"/>
          </w:tcPr>
          <w:p w:rsidR="009714DA" w:rsidRDefault="009714DA">
            <w:pPr>
              <w:rPr>
                <w:rFonts w:cs="Arial"/>
                <w:sz w:val="18"/>
                <w:szCs w:val="18"/>
              </w:rPr>
            </w:pPr>
            <w:r>
              <w:rPr>
                <w:rFonts w:cs="Arial"/>
                <w:sz w:val="18"/>
                <w:szCs w:val="18"/>
              </w:rPr>
              <w:t xml:space="preserve">Quasi absent : la démarche est déconnectée des acteurs locaux. </w:t>
            </w:r>
          </w:p>
        </w:tc>
        <w:tc>
          <w:tcPr>
            <w:tcW w:w="1843" w:type="dxa"/>
            <w:shd w:val="clear" w:color="auto" w:fill="auto"/>
          </w:tcPr>
          <w:p w:rsidR="009714DA" w:rsidRDefault="009714DA">
            <w:pPr>
              <w:rPr>
                <w:rFonts w:cs="Arial"/>
                <w:sz w:val="18"/>
                <w:szCs w:val="18"/>
              </w:rPr>
            </w:pPr>
            <w:r>
              <w:rPr>
                <w:rFonts w:cs="Arial"/>
                <w:sz w:val="18"/>
                <w:szCs w:val="18"/>
              </w:rPr>
              <w:t xml:space="preserve">La démarche a pris en compte certaines aspirations / spécificités locales. </w:t>
            </w:r>
          </w:p>
        </w:tc>
        <w:tc>
          <w:tcPr>
            <w:tcW w:w="1984" w:type="dxa"/>
            <w:shd w:val="clear" w:color="auto" w:fill="auto"/>
          </w:tcPr>
          <w:p w:rsidR="009714DA" w:rsidRDefault="009714DA">
            <w:pPr>
              <w:rPr>
                <w:rFonts w:cs="Arial"/>
                <w:sz w:val="18"/>
                <w:szCs w:val="18"/>
              </w:rPr>
            </w:pPr>
            <w:r>
              <w:rPr>
                <w:rFonts w:cs="Arial"/>
                <w:sz w:val="18"/>
                <w:szCs w:val="18"/>
              </w:rPr>
              <w:t>Le projet comprend des acteurs locaux privés et publics.</w:t>
            </w:r>
          </w:p>
        </w:tc>
        <w:tc>
          <w:tcPr>
            <w:tcW w:w="2693" w:type="dxa"/>
            <w:shd w:val="clear" w:color="auto" w:fill="auto"/>
          </w:tcPr>
          <w:p w:rsidR="009714DA" w:rsidRDefault="009714DA">
            <w:pPr>
              <w:rPr>
                <w:rFonts w:cs="Arial"/>
                <w:sz w:val="18"/>
                <w:szCs w:val="18"/>
              </w:rPr>
            </w:pPr>
            <w:r>
              <w:rPr>
                <w:rFonts w:cs="Arial"/>
                <w:sz w:val="18"/>
                <w:szCs w:val="18"/>
              </w:rPr>
              <w:t>Démarche très fortement adaptée aux attentes, besoins, aspirations du territoire, et qui fait appel aux acteurs locaux concernés.</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Gouvernance</w:t>
            </w:r>
          </w:p>
        </w:tc>
        <w:tc>
          <w:tcPr>
            <w:tcW w:w="1701" w:type="dxa"/>
            <w:shd w:val="clear" w:color="auto" w:fill="auto"/>
          </w:tcPr>
          <w:p w:rsidR="009714DA" w:rsidRDefault="009714DA">
            <w:pPr>
              <w:rPr>
                <w:rFonts w:cs="Arial"/>
                <w:sz w:val="18"/>
                <w:szCs w:val="18"/>
              </w:rPr>
            </w:pPr>
            <w:r>
              <w:rPr>
                <w:rFonts w:cs="Arial"/>
                <w:sz w:val="18"/>
                <w:szCs w:val="18"/>
              </w:rPr>
              <w:t>Inexistante / pas prévue.</w:t>
            </w:r>
          </w:p>
        </w:tc>
        <w:tc>
          <w:tcPr>
            <w:tcW w:w="1843" w:type="dxa"/>
            <w:shd w:val="clear" w:color="auto" w:fill="auto"/>
          </w:tcPr>
          <w:p w:rsidR="009714DA" w:rsidRDefault="009714DA">
            <w:pPr>
              <w:rPr>
                <w:rFonts w:cs="Arial"/>
                <w:sz w:val="18"/>
                <w:szCs w:val="18"/>
              </w:rPr>
            </w:pPr>
            <w:r>
              <w:rPr>
                <w:rFonts w:cs="Arial"/>
                <w:sz w:val="18"/>
                <w:szCs w:val="18"/>
              </w:rPr>
              <w:t>Faible rythme des rencontres, faible implication des acteurs.</w:t>
            </w:r>
          </w:p>
        </w:tc>
        <w:tc>
          <w:tcPr>
            <w:tcW w:w="1984" w:type="dxa"/>
            <w:shd w:val="clear" w:color="auto" w:fill="auto"/>
          </w:tcPr>
          <w:p w:rsidR="009714DA" w:rsidRDefault="009714DA">
            <w:pPr>
              <w:rPr>
                <w:rFonts w:cs="Arial"/>
                <w:sz w:val="18"/>
                <w:szCs w:val="18"/>
              </w:rPr>
            </w:pPr>
            <w:r>
              <w:rPr>
                <w:rFonts w:cs="Arial"/>
                <w:sz w:val="18"/>
                <w:szCs w:val="18"/>
              </w:rPr>
              <w:t>Nombreuses réunions impliquant les parties prenantes.</w:t>
            </w:r>
          </w:p>
        </w:tc>
        <w:tc>
          <w:tcPr>
            <w:tcW w:w="2693" w:type="dxa"/>
            <w:shd w:val="clear" w:color="auto" w:fill="auto"/>
          </w:tcPr>
          <w:p w:rsidR="009714DA" w:rsidRDefault="009714DA" w:rsidP="005B77A1">
            <w:pPr>
              <w:rPr>
                <w:rFonts w:cs="Arial"/>
                <w:sz w:val="18"/>
                <w:szCs w:val="18"/>
              </w:rPr>
            </w:pPr>
            <w:r>
              <w:rPr>
                <w:rFonts w:cs="Arial"/>
                <w:sz w:val="18"/>
                <w:szCs w:val="18"/>
              </w:rPr>
              <w:t>Rythme de rencontres soutenu, connu à l’avance, permettant de ras</w:t>
            </w:r>
            <w:r w:rsidR="005B77A1">
              <w:rPr>
                <w:rFonts w:cs="Arial"/>
                <w:sz w:val="18"/>
                <w:szCs w:val="18"/>
              </w:rPr>
              <w:t>sembler une multitude d’acteurs</w:t>
            </w:r>
            <w:r>
              <w:rPr>
                <w:rFonts w:cs="Arial"/>
                <w:sz w:val="18"/>
                <w:szCs w:val="18"/>
              </w:rPr>
              <w:t xml:space="preserve">. </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Ressources, économie du projet</w:t>
            </w:r>
          </w:p>
        </w:tc>
        <w:tc>
          <w:tcPr>
            <w:tcW w:w="1701" w:type="dxa"/>
            <w:shd w:val="clear" w:color="auto" w:fill="auto"/>
          </w:tcPr>
          <w:p w:rsidR="009714DA" w:rsidRDefault="009714DA">
            <w:pPr>
              <w:rPr>
                <w:rFonts w:cs="Arial"/>
                <w:sz w:val="18"/>
                <w:szCs w:val="18"/>
              </w:rPr>
            </w:pPr>
            <w:r>
              <w:rPr>
                <w:rFonts w:cs="Arial"/>
                <w:sz w:val="18"/>
                <w:szCs w:val="18"/>
              </w:rPr>
              <w:t>La viabilité du projet n’est pas envisagée</w:t>
            </w:r>
            <w:r w:rsidR="005B77A1">
              <w:rPr>
                <w:rFonts w:cs="Arial"/>
                <w:sz w:val="18"/>
                <w:szCs w:val="18"/>
              </w:rPr>
              <w:t>.</w:t>
            </w:r>
          </w:p>
        </w:tc>
        <w:tc>
          <w:tcPr>
            <w:tcW w:w="1843" w:type="dxa"/>
            <w:shd w:val="clear" w:color="auto" w:fill="auto"/>
          </w:tcPr>
          <w:p w:rsidR="009714DA" w:rsidRDefault="009714DA">
            <w:pPr>
              <w:rPr>
                <w:rFonts w:cs="Arial"/>
                <w:sz w:val="18"/>
                <w:szCs w:val="18"/>
              </w:rPr>
            </w:pPr>
            <w:r>
              <w:rPr>
                <w:rFonts w:cs="Arial"/>
                <w:sz w:val="18"/>
                <w:szCs w:val="18"/>
              </w:rPr>
              <w:t xml:space="preserve">Faibles ressources. Viabilité du projet pas évidente. </w:t>
            </w:r>
          </w:p>
        </w:tc>
        <w:tc>
          <w:tcPr>
            <w:tcW w:w="1984" w:type="dxa"/>
            <w:shd w:val="clear" w:color="auto" w:fill="auto"/>
          </w:tcPr>
          <w:p w:rsidR="009714DA" w:rsidRDefault="009714DA">
            <w:pPr>
              <w:rPr>
                <w:rFonts w:cs="Arial"/>
                <w:sz w:val="18"/>
                <w:szCs w:val="18"/>
              </w:rPr>
            </w:pPr>
            <w:r>
              <w:rPr>
                <w:rFonts w:cs="Arial"/>
                <w:sz w:val="18"/>
                <w:szCs w:val="18"/>
              </w:rPr>
              <w:t>Les ressources existent mais ne garantissent pas une viabilité à 3</w:t>
            </w:r>
            <w:r w:rsidR="005B77A1">
              <w:rPr>
                <w:rFonts w:cs="Arial"/>
                <w:sz w:val="18"/>
                <w:szCs w:val="18"/>
              </w:rPr>
              <w:t xml:space="preserve"> </w:t>
            </w:r>
            <w:r>
              <w:rPr>
                <w:rFonts w:cs="Arial"/>
                <w:sz w:val="18"/>
                <w:szCs w:val="18"/>
              </w:rPr>
              <w:t>ans</w:t>
            </w:r>
            <w:r w:rsidR="005B77A1">
              <w:rPr>
                <w:rFonts w:cs="Arial"/>
                <w:sz w:val="18"/>
                <w:szCs w:val="18"/>
              </w:rPr>
              <w:t>.</w:t>
            </w:r>
          </w:p>
        </w:tc>
        <w:tc>
          <w:tcPr>
            <w:tcW w:w="2693" w:type="dxa"/>
            <w:shd w:val="clear" w:color="auto" w:fill="auto"/>
          </w:tcPr>
          <w:p w:rsidR="009714DA" w:rsidRDefault="009714DA">
            <w:pPr>
              <w:rPr>
                <w:rFonts w:cs="Arial"/>
                <w:sz w:val="18"/>
                <w:szCs w:val="18"/>
              </w:rPr>
            </w:pPr>
            <w:r>
              <w:rPr>
                <w:rFonts w:cs="Arial"/>
                <w:sz w:val="18"/>
                <w:szCs w:val="18"/>
              </w:rPr>
              <w:t xml:space="preserve">Le projet présente une économie viable : le coût est bien évalué, les porteurs présentent une capacité financière. </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Logique d’accessibilité</w:t>
            </w:r>
          </w:p>
          <w:p w:rsidR="009714DA" w:rsidRDefault="009714DA">
            <w:pPr>
              <w:rPr>
                <w:rFonts w:cs="Arial"/>
                <w:b/>
                <w:sz w:val="18"/>
                <w:szCs w:val="18"/>
              </w:rPr>
            </w:pPr>
          </w:p>
        </w:tc>
        <w:tc>
          <w:tcPr>
            <w:tcW w:w="1701" w:type="dxa"/>
            <w:shd w:val="clear" w:color="auto" w:fill="auto"/>
          </w:tcPr>
          <w:p w:rsidR="009714DA" w:rsidRDefault="009714DA" w:rsidP="005B77A1">
            <w:pPr>
              <w:rPr>
                <w:rFonts w:cs="Arial"/>
                <w:sz w:val="18"/>
                <w:szCs w:val="18"/>
              </w:rPr>
            </w:pPr>
            <w:r>
              <w:rPr>
                <w:rFonts w:cs="Arial"/>
                <w:sz w:val="18"/>
                <w:szCs w:val="18"/>
              </w:rPr>
              <w:t xml:space="preserve">Le projet ne mentionne pas </w:t>
            </w:r>
            <w:r w:rsidR="005B77A1">
              <w:rPr>
                <w:rFonts w:cs="Arial"/>
                <w:sz w:val="18"/>
                <w:szCs w:val="18"/>
              </w:rPr>
              <w:t>le sujet.</w:t>
            </w:r>
            <w:r>
              <w:rPr>
                <w:rFonts w:cs="Arial"/>
                <w:sz w:val="18"/>
                <w:szCs w:val="18"/>
              </w:rPr>
              <w:t xml:space="preserve"> </w:t>
            </w:r>
          </w:p>
        </w:tc>
        <w:tc>
          <w:tcPr>
            <w:tcW w:w="1843" w:type="dxa"/>
            <w:shd w:val="clear" w:color="auto" w:fill="auto"/>
          </w:tcPr>
          <w:p w:rsidR="009714DA" w:rsidRDefault="009714DA">
            <w:pPr>
              <w:rPr>
                <w:rFonts w:cs="Arial"/>
                <w:sz w:val="18"/>
                <w:szCs w:val="18"/>
              </w:rPr>
            </w:pPr>
            <w:r>
              <w:rPr>
                <w:rFonts w:cs="Arial"/>
                <w:sz w:val="18"/>
                <w:szCs w:val="18"/>
              </w:rPr>
              <w:t xml:space="preserve">Le projet a ou va s’appuyer sur quelques éléments relatifs à l’accessibilité. </w:t>
            </w:r>
          </w:p>
        </w:tc>
        <w:tc>
          <w:tcPr>
            <w:tcW w:w="1984" w:type="dxa"/>
            <w:shd w:val="clear" w:color="auto" w:fill="auto"/>
          </w:tcPr>
          <w:p w:rsidR="009714DA" w:rsidRDefault="009714DA">
            <w:pPr>
              <w:rPr>
                <w:rFonts w:cs="Arial"/>
                <w:sz w:val="18"/>
                <w:szCs w:val="18"/>
              </w:rPr>
            </w:pPr>
            <w:r>
              <w:rPr>
                <w:rFonts w:cs="Arial"/>
                <w:sz w:val="18"/>
                <w:szCs w:val="18"/>
              </w:rPr>
              <w:t xml:space="preserve">Prise en compte assez grande d’éléments relatifs à l’accessibilité. </w:t>
            </w:r>
          </w:p>
        </w:tc>
        <w:tc>
          <w:tcPr>
            <w:tcW w:w="2693" w:type="dxa"/>
            <w:shd w:val="clear" w:color="auto" w:fill="auto"/>
          </w:tcPr>
          <w:p w:rsidR="009714DA" w:rsidRDefault="009714DA" w:rsidP="00F23C88">
            <w:pPr>
              <w:rPr>
                <w:rFonts w:cs="Arial"/>
                <w:sz w:val="18"/>
                <w:szCs w:val="18"/>
              </w:rPr>
            </w:pPr>
            <w:r>
              <w:rPr>
                <w:rFonts w:cs="Arial"/>
                <w:sz w:val="18"/>
                <w:szCs w:val="18"/>
              </w:rPr>
              <w:t>Le projet s’appuie déjà et compte développer le recours aux TIC, à la dématérialisation, la mobilité durable, etc.</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Logique de service</w:t>
            </w:r>
          </w:p>
        </w:tc>
        <w:tc>
          <w:tcPr>
            <w:tcW w:w="1701" w:type="dxa"/>
            <w:shd w:val="clear" w:color="auto" w:fill="auto"/>
          </w:tcPr>
          <w:p w:rsidR="009714DA" w:rsidRDefault="009714DA" w:rsidP="00F23C88">
            <w:pPr>
              <w:rPr>
                <w:rFonts w:cs="Arial"/>
                <w:sz w:val="18"/>
                <w:szCs w:val="18"/>
              </w:rPr>
            </w:pPr>
            <w:r>
              <w:rPr>
                <w:rFonts w:cs="Arial"/>
                <w:sz w:val="18"/>
                <w:szCs w:val="18"/>
              </w:rPr>
              <w:t>Les services apportés par le projet ne res</w:t>
            </w:r>
            <w:r w:rsidR="00F23C88">
              <w:rPr>
                <w:rFonts w:cs="Arial"/>
                <w:sz w:val="18"/>
                <w:szCs w:val="18"/>
              </w:rPr>
              <w:t>sortent pas de sa description</w:t>
            </w:r>
            <w:r>
              <w:rPr>
                <w:rFonts w:cs="Arial"/>
                <w:sz w:val="18"/>
                <w:szCs w:val="18"/>
              </w:rPr>
              <w:t xml:space="preserve">. </w:t>
            </w:r>
          </w:p>
        </w:tc>
        <w:tc>
          <w:tcPr>
            <w:tcW w:w="1843" w:type="dxa"/>
            <w:shd w:val="clear" w:color="auto" w:fill="auto"/>
          </w:tcPr>
          <w:p w:rsidR="009714DA" w:rsidRDefault="009714DA" w:rsidP="00F23C88">
            <w:pPr>
              <w:rPr>
                <w:rFonts w:cs="Arial"/>
                <w:sz w:val="18"/>
                <w:szCs w:val="18"/>
              </w:rPr>
            </w:pPr>
            <w:r>
              <w:rPr>
                <w:rFonts w:cs="Arial"/>
                <w:sz w:val="18"/>
                <w:szCs w:val="18"/>
              </w:rPr>
              <w:t xml:space="preserve">La démarche peut apporter des services ou susciter d’autres innovations. </w:t>
            </w:r>
          </w:p>
        </w:tc>
        <w:tc>
          <w:tcPr>
            <w:tcW w:w="1984" w:type="dxa"/>
            <w:shd w:val="clear" w:color="auto" w:fill="auto"/>
          </w:tcPr>
          <w:p w:rsidR="009714DA" w:rsidRDefault="009714DA">
            <w:pPr>
              <w:rPr>
                <w:rFonts w:cs="Arial"/>
                <w:sz w:val="18"/>
                <w:szCs w:val="18"/>
              </w:rPr>
            </w:pPr>
            <w:r>
              <w:rPr>
                <w:rFonts w:cs="Arial"/>
                <w:sz w:val="18"/>
                <w:szCs w:val="18"/>
              </w:rPr>
              <w:t xml:space="preserve">Services identifiés et espérés de la réalisation du projet. </w:t>
            </w:r>
          </w:p>
        </w:tc>
        <w:tc>
          <w:tcPr>
            <w:tcW w:w="2693" w:type="dxa"/>
            <w:shd w:val="clear" w:color="auto" w:fill="auto"/>
          </w:tcPr>
          <w:p w:rsidR="009714DA" w:rsidRDefault="009714DA" w:rsidP="00F23C88">
            <w:pPr>
              <w:rPr>
                <w:rFonts w:cs="Arial"/>
                <w:sz w:val="18"/>
                <w:szCs w:val="18"/>
              </w:rPr>
            </w:pPr>
            <w:r>
              <w:rPr>
                <w:rFonts w:cs="Arial"/>
                <w:sz w:val="18"/>
                <w:szCs w:val="18"/>
              </w:rPr>
              <w:t>Le projet apporte de nombreux services : améliore la qualité de vie,  suscite d’autres innovations, service</w:t>
            </w:r>
            <w:r w:rsidR="00F23C88">
              <w:rPr>
                <w:rFonts w:cs="Arial"/>
                <w:sz w:val="18"/>
                <w:szCs w:val="18"/>
              </w:rPr>
              <w:t>s de proximité</w:t>
            </w:r>
            <w:r>
              <w:rPr>
                <w:rFonts w:cs="Arial"/>
                <w:sz w:val="18"/>
                <w:szCs w:val="18"/>
              </w:rPr>
              <w:t xml:space="preserve">. </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Rupture avec l’existant</w:t>
            </w:r>
          </w:p>
        </w:tc>
        <w:tc>
          <w:tcPr>
            <w:tcW w:w="1701" w:type="dxa"/>
            <w:shd w:val="clear" w:color="auto" w:fill="auto"/>
          </w:tcPr>
          <w:p w:rsidR="009714DA" w:rsidRDefault="009714DA" w:rsidP="00F23C88">
            <w:pPr>
              <w:rPr>
                <w:rFonts w:cs="Arial"/>
                <w:sz w:val="18"/>
                <w:szCs w:val="18"/>
              </w:rPr>
            </w:pPr>
            <w:r>
              <w:rPr>
                <w:rFonts w:cs="Arial"/>
                <w:sz w:val="18"/>
                <w:szCs w:val="18"/>
              </w:rPr>
              <w:t xml:space="preserve">La continuité avec l’existant est réelle. </w:t>
            </w:r>
          </w:p>
        </w:tc>
        <w:tc>
          <w:tcPr>
            <w:tcW w:w="1843" w:type="dxa"/>
            <w:shd w:val="clear" w:color="auto" w:fill="auto"/>
          </w:tcPr>
          <w:p w:rsidR="009714DA" w:rsidRDefault="009714DA" w:rsidP="00F23C88">
            <w:pPr>
              <w:rPr>
                <w:rFonts w:cs="Arial"/>
                <w:sz w:val="18"/>
                <w:szCs w:val="18"/>
              </w:rPr>
            </w:pPr>
            <w:r>
              <w:rPr>
                <w:rFonts w:cs="Arial"/>
                <w:sz w:val="18"/>
                <w:szCs w:val="18"/>
              </w:rPr>
              <w:t xml:space="preserve">La rupture avec l’existant est réelle mais n’est pas très marquée. </w:t>
            </w:r>
          </w:p>
        </w:tc>
        <w:tc>
          <w:tcPr>
            <w:tcW w:w="1984" w:type="dxa"/>
            <w:shd w:val="clear" w:color="auto" w:fill="auto"/>
          </w:tcPr>
          <w:p w:rsidR="009714DA" w:rsidRDefault="009714DA">
            <w:pPr>
              <w:rPr>
                <w:rFonts w:cs="Arial"/>
                <w:sz w:val="18"/>
                <w:szCs w:val="18"/>
              </w:rPr>
            </w:pPr>
            <w:r>
              <w:rPr>
                <w:rFonts w:cs="Arial"/>
                <w:sz w:val="18"/>
                <w:szCs w:val="18"/>
              </w:rPr>
              <w:t xml:space="preserve">La recherche de solutions inédites est marquée. </w:t>
            </w:r>
          </w:p>
        </w:tc>
        <w:tc>
          <w:tcPr>
            <w:tcW w:w="2693" w:type="dxa"/>
            <w:shd w:val="clear" w:color="auto" w:fill="auto"/>
          </w:tcPr>
          <w:p w:rsidR="009714DA" w:rsidRDefault="009714DA">
            <w:pPr>
              <w:rPr>
                <w:rFonts w:cs="Arial"/>
                <w:sz w:val="18"/>
                <w:szCs w:val="18"/>
              </w:rPr>
            </w:pPr>
            <w:r>
              <w:rPr>
                <w:rFonts w:cs="Arial"/>
                <w:sz w:val="18"/>
                <w:szCs w:val="18"/>
              </w:rPr>
              <w:t xml:space="preserve">Le projet apporte à l’évidence une rupture avec l’existant, dans la solution apportée ou dans les méthodes utilisées. </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Capacité de changement social</w:t>
            </w:r>
          </w:p>
        </w:tc>
        <w:tc>
          <w:tcPr>
            <w:tcW w:w="1701" w:type="dxa"/>
            <w:shd w:val="clear" w:color="auto" w:fill="auto"/>
          </w:tcPr>
          <w:p w:rsidR="009714DA" w:rsidRDefault="009714DA">
            <w:pPr>
              <w:rPr>
                <w:rFonts w:cs="Arial"/>
                <w:sz w:val="18"/>
                <w:szCs w:val="18"/>
              </w:rPr>
            </w:pPr>
            <w:r>
              <w:rPr>
                <w:rFonts w:cs="Arial"/>
                <w:sz w:val="18"/>
                <w:szCs w:val="18"/>
              </w:rPr>
              <w:t>Pas de changement social</w:t>
            </w:r>
          </w:p>
        </w:tc>
        <w:tc>
          <w:tcPr>
            <w:tcW w:w="1843" w:type="dxa"/>
            <w:shd w:val="clear" w:color="auto" w:fill="auto"/>
          </w:tcPr>
          <w:p w:rsidR="009714DA" w:rsidRDefault="009714DA">
            <w:pPr>
              <w:rPr>
                <w:rFonts w:cs="Arial"/>
                <w:sz w:val="18"/>
                <w:szCs w:val="18"/>
              </w:rPr>
            </w:pPr>
            <w:r>
              <w:rPr>
                <w:rFonts w:cs="Arial"/>
                <w:sz w:val="18"/>
                <w:szCs w:val="18"/>
              </w:rPr>
              <w:t>Faible impact sur le changement social</w:t>
            </w:r>
          </w:p>
        </w:tc>
        <w:tc>
          <w:tcPr>
            <w:tcW w:w="1984" w:type="dxa"/>
            <w:shd w:val="clear" w:color="auto" w:fill="auto"/>
          </w:tcPr>
          <w:p w:rsidR="009714DA" w:rsidRDefault="009714DA">
            <w:pPr>
              <w:rPr>
                <w:rFonts w:cs="Arial"/>
                <w:sz w:val="18"/>
                <w:szCs w:val="18"/>
              </w:rPr>
            </w:pPr>
            <w:r>
              <w:rPr>
                <w:rFonts w:cs="Arial"/>
                <w:sz w:val="18"/>
                <w:szCs w:val="18"/>
              </w:rPr>
              <w:t xml:space="preserve">Modifications des usages </w:t>
            </w:r>
            <w:r>
              <w:rPr>
                <w:rFonts w:cs="Arial"/>
                <w:b/>
                <w:sz w:val="18"/>
                <w:szCs w:val="18"/>
              </w:rPr>
              <w:t>ou</w:t>
            </w:r>
            <w:r>
              <w:rPr>
                <w:rFonts w:cs="Arial"/>
                <w:sz w:val="18"/>
                <w:szCs w:val="18"/>
              </w:rPr>
              <w:t xml:space="preserve"> des représentations</w:t>
            </w:r>
          </w:p>
        </w:tc>
        <w:tc>
          <w:tcPr>
            <w:tcW w:w="2693" w:type="dxa"/>
            <w:shd w:val="clear" w:color="auto" w:fill="auto"/>
          </w:tcPr>
          <w:p w:rsidR="009714DA" w:rsidRDefault="009714DA">
            <w:pPr>
              <w:rPr>
                <w:rFonts w:cs="Arial"/>
                <w:sz w:val="18"/>
                <w:szCs w:val="18"/>
              </w:rPr>
            </w:pPr>
            <w:r>
              <w:rPr>
                <w:rFonts w:cs="Arial"/>
                <w:sz w:val="18"/>
                <w:szCs w:val="18"/>
              </w:rPr>
              <w:t xml:space="preserve">Modifications des usages </w:t>
            </w:r>
            <w:r>
              <w:rPr>
                <w:rFonts w:cs="Arial"/>
                <w:b/>
                <w:sz w:val="18"/>
                <w:szCs w:val="18"/>
              </w:rPr>
              <w:t>et</w:t>
            </w:r>
            <w:r>
              <w:rPr>
                <w:rFonts w:cs="Arial"/>
                <w:sz w:val="18"/>
                <w:szCs w:val="18"/>
              </w:rPr>
              <w:t xml:space="preserve"> des représentations. Formations de nouveaux acteurs envisagées par les porteurs.</w:t>
            </w:r>
          </w:p>
        </w:tc>
      </w:tr>
      <w:tr w:rsidR="009714DA" w:rsidTr="009714DA">
        <w:tc>
          <w:tcPr>
            <w:tcW w:w="1985" w:type="dxa"/>
            <w:shd w:val="clear" w:color="auto" w:fill="auto"/>
          </w:tcPr>
          <w:p w:rsidR="009714DA" w:rsidRDefault="009714DA">
            <w:pPr>
              <w:rPr>
                <w:rFonts w:cs="Arial"/>
                <w:b/>
                <w:sz w:val="18"/>
                <w:szCs w:val="18"/>
              </w:rPr>
            </w:pPr>
            <w:r>
              <w:rPr>
                <w:rFonts w:cs="Arial"/>
                <w:b/>
                <w:sz w:val="18"/>
                <w:szCs w:val="18"/>
              </w:rPr>
              <w:t>Facteurs environnementaux</w:t>
            </w:r>
          </w:p>
        </w:tc>
        <w:tc>
          <w:tcPr>
            <w:tcW w:w="1701" w:type="dxa"/>
            <w:shd w:val="clear" w:color="auto" w:fill="auto"/>
          </w:tcPr>
          <w:p w:rsidR="009714DA" w:rsidRDefault="009714DA">
            <w:pPr>
              <w:rPr>
                <w:rFonts w:cs="Arial"/>
                <w:sz w:val="18"/>
                <w:szCs w:val="18"/>
              </w:rPr>
            </w:pPr>
            <w:r>
              <w:rPr>
                <w:rFonts w:cs="Arial"/>
                <w:sz w:val="18"/>
                <w:szCs w:val="18"/>
              </w:rPr>
              <w:t>Pas de prise en compte malgré des impacts envisageables</w:t>
            </w:r>
          </w:p>
        </w:tc>
        <w:tc>
          <w:tcPr>
            <w:tcW w:w="1843" w:type="dxa"/>
            <w:shd w:val="clear" w:color="auto" w:fill="auto"/>
          </w:tcPr>
          <w:p w:rsidR="009714DA" w:rsidRDefault="009714DA">
            <w:pPr>
              <w:rPr>
                <w:rFonts w:cs="Arial"/>
                <w:sz w:val="18"/>
                <w:szCs w:val="18"/>
              </w:rPr>
            </w:pPr>
            <w:r>
              <w:rPr>
                <w:rFonts w:cs="Arial"/>
                <w:sz w:val="18"/>
                <w:szCs w:val="18"/>
              </w:rPr>
              <w:t>Prise en compte partielle et sommaire</w:t>
            </w:r>
          </w:p>
        </w:tc>
        <w:tc>
          <w:tcPr>
            <w:tcW w:w="1984" w:type="dxa"/>
            <w:shd w:val="clear" w:color="auto" w:fill="auto"/>
          </w:tcPr>
          <w:p w:rsidR="009714DA" w:rsidRDefault="009714DA">
            <w:pPr>
              <w:rPr>
                <w:rFonts w:cs="Arial"/>
                <w:sz w:val="18"/>
                <w:szCs w:val="18"/>
              </w:rPr>
            </w:pPr>
            <w:r>
              <w:rPr>
                <w:rFonts w:cs="Arial"/>
                <w:sz w:val="18"/>
                <w:szCs w:val="18"/>
              </w:rPr>
              <w:t xml:space="preserve">Analyse réelle </w:t>
            </w:r>
          </w:p>
        </w:tc>
        <w:tc>
          <w:tcPr>
            <w:tcW w:w="2693" w:type="dxa"/>
            <w:shd w:val="clear" w:color="auto" w:fill="auto"/>
          </w:tcPr>
          <w:p w:rsidR="009714DA" w:rsidRDefault="009714DA">
            <w:pPr>
              <w:rPr>
                <w:rFonts w:cs="Arial"/>
                <w:sz w:val="18"/>
                <w:szCs w:val="18"/>
              </w:rPr>
            </w:pPr>
            <w:r>
              <w:rPr>
                <w:rFonts w:cs="Arial"/>
                <w:sz w:val="18"/>
                <w:szCs w:val="18"/>
              </w:rPr>
              <w:t>Forte prise en compte, diagnostic et préconisation</w:t>
            </w:r>
            <w:r w:rsidR="00141572">
              <w:rPr>
                <w:rFonts w:cs="Arial"/>
                <w:sz w:val="18"/>
                <w:szCs w:val="18"/>
              </w:rPr>
              <w:t>s</w:t>
            </w:r>
          </w:p>
        </w:tc>
      </w:tr>
    </w:tbl>
    <w:p w:rsidR="00146E8B" w:rsidRDefault="00146E8B">
      <w:pPr>
        <w:jc w:val="both"/>
      </w:pPr>
    </w:p>
    <w:sectPr w:rsidR="00146E8B" w:rsidSect="00512138">
      <w:headerReference w:type="default" r:id="rId10"/>
      <w:footerReference w:type="default" r:id="rId11"/>
      <w:pgSz w:w="11906" w:h="16838"/>
      <w:pgMar w:top="141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8C1" w:rsidRDefault="005718C1">
      <w:r>
        <w:separator/>
      </w:r>
    </w:p>
  </w:endnote>
  <w:endnote w:type="continuationSeparator" w:id="0">
    <w:p w:rsidR="005718C1" w:rsidRDefault="0057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63"/>
      <w:gridCol w:w="8325"/>
    </w:tblGrid>
    <w:tr w:rsidR="005718C1">
      <w:tc>
        <w:tcPr>
          <w:tcW w:w="918" w:type="dxa"/>
        </w:tcPr>
        <w:p w:rsidR="005718C1" w:rsidRDefault="005718C1">
          <w:pPr>
            <w:pStyle w:val="Pieddepage"/>
            <w:jc w:val="right"/>
            <w:rPr>
              <w:b/>
              <w:bCs/>
              <w:color w:val="4F81BD"/>
              <w:sz w:val="32"/>
              <w:szCs w:val="32"/>
            </w:rPr>
          </w:pPr>
          <w:r>
            <w:rPr>
              <w:szCs w:val="21"/>
            </w:rPr>
            <w:fldChar w:fldCharType="begin"/>
          </w:r>
          <w:r>
            <w:instrText>PAGE   \* MERGEFORMAT</w:instrText>
          </w:r>
          <w:r>
            <w:rPr>
              <w:szCs w:val="21"/>
            </w:rPr>
            <w:fldChar w:fldCharType="separate"/>
          </w:r>
          <w:r w:rsidRPr="005718C1">
            <w:rPr>
              <w:b/>
              <w:bCs/>
              <w:noProof/>
              <w:color w:val="4F81BD"/>
              <w:sz w:val="32"/>
              <w:szCs w:val="32"/>
            </w:rPr>
            <w:t>6</w:t>
          </w:r>
          <w:r>
            <w:rPr>
              <w:b/>
              <w:bCs/>
              <w:color w:val="4F81BD"/>
              <w:sz w:val="32"/>
              <w:szCs w:val="32"/>
            </w:rPr>
            <w:fldChar w:fldCharType="end"/>
          </w:r>
        </w:p>
      </w:tc>
      <w:tc>
        <w:tcPr>
          <w:tcW w:w="7938" w:type="dxa"/>
        </w:tcPr>
        <w:p w:rsidR="005718C1" w:rsidRDefault="005718C1">
          <w:pPr>
            <w:pStyle w:val="Pieddepage"/>
          </w:pPr>
        </w:p>
      </w:tc>
    </w:tr>
  </w:tbl>
  <w:p w:rsidR="005718C1" w:rsidRDefault="005718C1">
    <w:pPr>
      <w:pStyle w:val="Pieddepage"/>
      <w:jc w:val="center"/>
    </w:pPr>
    <w:r>
      <w:t>Conseil régional Aquitaine – AMI Innovation sociale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8C1" w:rsidRDefault="005718C1">
      <w:r>
        <w:separator/>
      </w:r>
    </w:p>
  </w:footnote>
  <w:footnote w:type="continuationSeparator" w:id="0">
    <w:p w:rsidR="005718C1" w:rsidRDefault="005718C1">
      <w:r>
        <w:continuationSeparator/>
      </w:r>
    </w:p>
  </w:footnote>
  <w:footnote w:id="1">
    <w:p w:rsidR="005718C1" w:rsidRDefault="005718C1">
      <w:pPr>
        <w:pStyle w:val="Notedebasdepage"/>
        <w:rPr>
          <w:rStyle w:val="CitationHTML"/>
          <w:i w:val="0"/>
          <w:iCs w:val="0"/>
        </w:rPr>
      </w:pPr>
      <w:r>
        <w:rPr>
          <w:rStyle w:val="Appelnotedebasdep"/>
        </w:rPr>
        <w:footnoteRef/>
      </w:r>
      <w:r>
        <w:t xml:space="preserve"> </w:t>
      </w:r>
      <w:hyperlink r:id="rId1" w:history="1">
        <w:r w:rsidRPr="00D128A3">
          <w:rPr>
            <w:rStyle w:val="Lienhypertexte"/>
          </w:rPr>
          <w:t>www.</w:t>
        </w:r>
        <w:r w:rsidRPr="00EF527D">
          <w:rPr>
            <w:rStyle w:val="Lienhypertexte"/>
            <w:bCs/>
          </w:rPr>
          <w:t>institutgodin</w:t>
        </w:r>
        <w:r w:rsidRPr="00D128A3">
          <w:rPr>
            <w:rStyle w:val="Lienhypertexte"/>
          </w:rPr>
          <w:t>.fr</w:t>
        </w:r>
      </w:hyperlink>
      <w:r>
        <w:rPr>
          <w:rStyle w:val="CitationHTML"/>
        </w:rPr>
        <w:t xml:space="preserve">; </w:t>
      </w:r>
      <w:hyperlink r:id="rId2" w:history="1">
        <w:r w:rsidRPr="00D128A3">
          <w:rPr>
            <w:rStyle w:val="Lienhypertexte"/>
          </w:rPr>
          <w:t>www.avise.org</w:t>
        </w:r>
      </w:hyperlink>
      <w:r>
        <w:rPr>
          <w:rStyle w:val="CitationHTML"/>
        </w:rPr>
        <w:t>;</w:t>
      </w:r>
      <w:r w:rsidRPr="00512138">
        <w:t xml:space="preserve"> </w:t>
      </w:r>
      <w:hyperlink r:id="rId3" w:history="1">
        <w:r w:rsidRPr="00907738">
          <w:rPr>
            <w:rStyle w:val="Lienhypertexte"/>
          </w:rPr>
          <w:t>http://ec.europa.eu/regional_policy/sources/docgener</w:t>
        </w:r>
      </w:hyperlink>
    </w:p>
    <w:p w:rsidR="005718C1" w:rsidRDefault="005718C1">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8C1" w:rsidRDefault="005718C1">
    <w:pPr>
      <w:pStyle w:val="En-tte"/>
      <w:tabs>
        <w:tab w:val="clear" w:pos="9072"/>
      </w:tabs>
      <w:ind w:right="-284"/>
      <w:jc w:val="right"/>
    </w:pPr>
    <w:r>
      <w:rPr>
        <w:noProof/>
      </w:rPr>
      <w:drawing>
        <wp:inline distT="0" distB="0" distL="0" distR="0" wp14:anchorId="6FE104F9" wp14:editId="2688C3FD">
          <wp:extent cx="1952625" cy="628650"/>
          <wp:effectExtent l="0" t="0" r="9525" b="0"/>
          <wp:docPr id="1" name="Image 1" descr="Description : Description : 2012 LogoRegionAquitaine-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2012 LogoRegionAquitaine-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344"/>
    <w:multiLevelType w:val="hybridMultilevel"/>
    <w:tmpl w:val="E1B0D16E"/>
    <w:lvl w:ilvl="0" w:tplc="D94A709A">
      <w:start w:val="1"/>
      <w:numFmt w:val="bullet"/>
      <w:lvlText w:val=""/>
      <w:lvlJc w:val="left"/>
      <w:pPr>
        <w:ind w:left="1440" w:hanging="360"/>
      </w:pPr>
      <w:rPr>
        <w:rFonts w:ascii="Wingdings" w:hAnsi="Wingdings" w:hint="default"/>
      </w:rPr>
    </w:lvl>
    <w:lvl w:ilvl="1" w:tplc="FCDC2B44">
      <w:numFmt w:val="bullet"/>
      <w:lvlText w:val="-"/>
      <w:lvlJc w:val="left"/>
      <w:pPr>
        <w:ind w:left="2160" w:hanging="360"/>
      </w:pPr>
      <w:rPr>
        <w:rFonts w:ascii="Arial" w:eastAsia="Times New Roman" w:hAnsi="Arial" w:cs="Arial" w:hint="default"/>
      </w:rPr>
    </w:lvl>
    <w:lvl w:ilvl="2" w:tplc="D94A709A">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C263031"/>
    <w:multiLevelType w:val="hybridMultilevel"/>
    <w:tmpl w:val="2D80E2B4"/>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37C2DD9"/>
    <w:multiLevelType w:val="hybridMultilevel"/>
    <w:tmpl w:val="13342484"/>
    <w:lvl w:ilvl="0" w:tplc="040C0003">
      <w:start w:val="1"/>
      <w:numFmt w:val="bullet"/>
      <w:lvlText w:val="o"/>
      <w:lvlJc w:val="left"/>
      <w:pPr>
        <w:tabs>
          <w:tab w:val="num" w:pos="720"/>
        </w:tabs>
        <w:ind w:left="720" w:hanging="360"/>
      </w:pPr>
      <w:rPr>
        <w:rFonts w:ascii="Courier New" w:hAnsi="Courier New" w:cs="Courier New"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3C81AE2"/>
    <w:multiLevelType w:val="hybridMultilevel"/>
    <w:tmpl w:val="EDBAB9B6"/>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5F34D24"/>
    <w:multiLevelType w:val="hybridMultilevel"/>
    <w:tmpl w:val="1414A13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9862E32">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8721452"/>
    <w:multiLevelType w:val="hybridMultilevel"/>
    <w:tmpl w:val="A60EF0D4"/>
    <w:lvl w:ilvl="0" w:tplc="D94A709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3257B04"/>
    <w:multiLevelType w:val="hybridMultilevel"/>
    <w:tmpl w:val="4618615C"/>
    <w:lvl w:ilvl="0" w:tplc="D94A709A">
      <w:start w:val="1"/>
      <w:numFmt w:val="bullet"/>
      <w:lvlText w:val=""/>
      <w:lvlJc w:val="left"/>
      <w:pPr>
        <w:ind w:left="1440" w:hanging="360"/>
      </w:pPr>
      <w:rPr>
        <w:rFonts w:ascii="Wingdings" w:hAnsi="Wingdings" w:hint="default"/>
      </w:rPr>
    </w:lvl>
    <w:lvl w:ilvl="1" w:tplc="D94A709A">
      <w:start w:val="1"/>
      <w:numFmt w:val="bullet"/>
      <w:lvlText w:val=""/>
      <w:lvlJc w:val="left"/>
      <w:pPr>
        <w:ind w:left="2160" w:hanging="360"/>
      </w:pPr>
      <w:rPr>
        <w:rFonts w:ascii="Wingdings" w:hAnsi="Wingdings" w:hint="default"/>
      </w:rPr>
    </w:lvl>
    <w:lvl w:ilvl="2" w:tplc="D94A709A">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365E63CC"/>
    <w:multiLevelType w:val="hybridMultilevel"/>
    <w:tmpl w:val="B670969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3699468D"/>
    <w:multiLevelType w:val="multilevel"/>
    <w:tmpl w:val="7FC0689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A550253"/>
    <w:multiLevelType w:val="hybridMultilevel"/>
    <w:tmpl w:val="98CE9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A990199"/>
    <w:multiLevelType w:val="hybridMultilevel"/>
    <w:tmpl w:val="FEDE1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C3E322B"/>
    <w:multiLevelType w:val="hybridMultilevel"/>
    <w:tmpl w:val="7FC0689C"/>
    <w:lvl w:ilvl="0" w:tplc="79066A68">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6220BBC"/>
    <w:multiLevelType w:val="hybridMultilevel"/>
    <w:tmpl w:val="9392AE72"/>
    <w:lvl w:ilvl="0" w:tplc="D94A709A">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D94A709A">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5F48132D"/>
    <w:multiLevelType w:val="hybridMultilevel"/>
    <w:tmpl w:val="AAD8C738"/>
    <w:lvl w:ilvl="0" w:tplc="E52AF822">
      <w:numFmt w:val="bullet"/>
      <w:lvlText w:val=""/>
      <w:lvlJc w:val="left"/>
      <w:pPr>
        <w:tabs>
          <w:tab w:val="num" w:pos="720"/>
        </w:tabs>
        <w:ind w:left="720" w:hanging="36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9"/>
  </w:num>
  <w:num w:numId="4">
    <w:abstractNumId w:val="3"/>
  </w:num>
  <w:num w:numId="5">
    <w:abstractNumId w:val="8"/>
  </w:num>
  <w:num w:numId="6">
    <w:abstractNumId w:val="13"/>
  </w:num>
  <w:num w:numId="7">
    <w:abstractNumId w:val="4"/>
  </w:num>
  <w:num w:numId="8">
    <w:abstractNumId w:val="0"/>
  </w:num>
  <w:num w:numId="9">
    <w:abstractNumId w:val="12"/>
  </w:num>
  <w:num w:numId="10">
    <w:abstractNumId w:val="6"/>
  </w:num>
  <w:num w:numId="11">
    <w:abstractNumId w:val="1"/>
  </w:num>
  <w:num w:numId="12">
    <w:abstractNumId w:val="7"/>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89"/>
    <w:rsid w:val="001162B7"/>
    <w:rsid w:val="00141572"/>
    <w:rsid w:val="00146E8B"/>
    <w:rsid w:val="00256EB7"/>
    <w:rsid w:val="002814B7"/>
    <w:rsid w:val="002E4F1B"/>
    <w:rsid w:val="005103C2"/>
    <w:rsid w:val="00512138"/>
    <w:rsid w:val="005718C1"/>
    <w:rsid w:val="00580B99"/>
    <w:rsid w:val="005A21B3"/>
    <w:rsid w:val="005B500F"/>
    <w:rsid w:val="005B77A1"/>
    <w:rsid w:val="00603111"/>
    <w:rsid w:val="00624C54"/>
    <w:rsid w:val="008D632E"/>
    <w:rsid w:val="008F2392"/>
    <w:rsid w:val="009714DA"/>
    <w:rsid w:val="009E2C75"/>
    <w:rsid w:val="00A63F5F"/>
    <w:rsid w:val="00A81E59"/>
    <w:rsid w:val="00B05754"/>
    <w:rsid w:val="00B67AEC"/>
    <w:rsid w:val="00C4076E"/>
    <w:rsid w:val="00D96983"/>
    <w:rsid w:val="00E60B24"/>
    <w:rsid w:val="00EF527D"/>
    <w:rsid w:val="00F23C88"/>
    <w:rsid w:val="00F56852"/>
    <w:rsid w:val="00F877C2"/>
    <w:rsid w:val="00FC6F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Titre1">
    <w:name w:val="heading 1"/>
    <w:basedOn w:val="Normal"/>
    <w:next w:val="Normal"/>
    <w:qFormat/>
    <w:pPr>
      <w:keepNext/>
      <w:spacing w:before="240" w:after="60"/>
      <w:outlineLvl w:val="0"/>
    </w:pPr>
    <w:rPr>
      <w:rFonts w:cs="Arial"/>
      <w:b/>
      <w:bCs/>
      <w:kern w:val="32"/>
      <w:sz w:val="32"/>
      <w:szCs w:val="32"/>
    </w:rPr>
  </w:style>
  <w:style w:type="paragraph" w:styleId="Titre2">
    <w:name w:val="heading 2"/>
    <w:basedOn w:val="Normal"/>
    <w:next w:val="Normal"/>
    <w:qFormat/>
    <w:pPr>
      <w:keepNext/>
      <w:spacing w:before="240" w:after="60"/>
      <w:outlineLvl w:val="1"/>
    </w:pPr>
    <w:rPr>
      <w:rFonts w:cs="Arial"/>
      <w:b/>
      <w:bCs/>
      <w:i/>
      <w:iCs/>
      <w:sz w:val="28"/>
      <w:szCs w:val="28"/>
    </w:rPr>
  </w:style>
  <w:style w:type="paragraph" w:styleId="Titre3">
    <w:name w:val="heading 3"/>
    <w:basedOn w:val="Normal"/>
    <w:next w:val="Normal"/>
    <w:qFormat/>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Pr>
      <w:sz w:val="20"/>
      <w:szCs w:val="20"/>
    </w:rPr>
  </w:style>
  <w:style w:type="character" w:styleId="Appelnotedebasdep">
    <w:name w:val="footnote reference"/>
    <w:rPr>
      <w:vertAlign w:val="superscript"/>
    </w:rPr>
  </w:style>
  <w:style w:type="character" w:styleId="Lienhypertexte">
    <w:name w:val="Hyperlink"/>
    <w:rPr>
      <w:color w:val="0000FF"/>
      <w:u w:val="single"/>
    </w:rPr>
  </w:style>
  <w:style w:type="paragraph" w:styleId="Paragraphedeliste">
    <w:name w:val="List Paragraph"/>
    <w:basedOn w:val="Normal"/>
    <w:uiPriority w:val="34"/>
    <w:qFormat/>
    <w:pPr>
      <w:ind w:left="708"/>
    </w:pPr>
  </w:style>
  <w:style w:type="paragraph" w:styleId="En-tte">
    <w:name w:val="header"/>
    <w:basedOn w:val="Normal"/>
    <w:link w:val="En-tteCar"/>
    <w:pPr>
      <w:tabs>
        <w:tab w:val="center" w:pos="4536"/>
        <w:tab w:val="right" w:pos="9072"/>
      </w:tabs>
    </w:pPr>
  </w:style>
  <w:style w:type="character" w:customStyle="1" w:styleId="En-tteCar">
    <w:name w:val="En-tête Car"/>
    <w:link w:val="En-tte"/>
    <w:rPr>
      <w:rFonts w:ascii="Arial" w:hAnsi="Arial"/>
      <w:sz w:val="22"/>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rFonts w:ascii="Arial" w:hAnsi="Arial"/>
      <w:sz w:val="22"/>
      <w:szCs w:val="24"/>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character" w:customStyle="1" w:styleId="NotedebasdepageCar">
    <w:name w:val="Note de bas de page Car"/>
    <w:link w:val="Notedebasdepage"/>
    <w:rPr>
      <w:rFonts w:ascii="Arial" w:hAnsi="Arial"/>
    </w:rPr>
  </w:style>
  <w:style w:type="paragraph" w:customStyle="1" w:styleId="dmodeles-petite-loiconfectiontexteloitexte">
    <w:name w:val="dmodeles-petite-loiconfectiontexteloitexte"/>
    <w:basedOn w:val="Normal"/>
    <w:pPr>
      <w:spacing w:before="100" w:beforeAutospacing="1" w:after="100" w:afterAutospacing="1"/>
    </w:pPr>
    <w:rPr>
      <w:rFonts w:ascii="Times New Roman" w:hAnsi="Times New Roman"/>
      <w:sz w:val="24"/>
    </w:rPr>
  </w:style>
  <w:style w:type="character" w:styleId="CitationHTML">
    <w:name w:val="HTML Cite"/>
    <w:basedOn w:val="Policepardfaut"/>
    <w:uiPriority w:val="99"/>
    <w:unhideWhenUsed/>
    <w:rsid w:val="001162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Titre1">
    <w:name w:val="heading 1"/>
    <w:basedOn w:val="Normal"/>
    <w:next w:val="Normal"/>
    <w:qFormat/>
    <w:pPr>
      <w:keepNext/>
      <w:spacing w:before="240" w:after="60"/>
      <w:outlineLvl w:val="0"/>
    </w:pPr>
    <w:rPr>
      <w:rFonts w:cs="Arial"/>
      <w:b/>
      <w:bCs/>
      <w:kern w:val="32"/>
      <w:sz w:val="32"/>
      <w:szCs w:val="32"/>
    </w:rPr>
  </w:style>
  <w:style w:type="paragraph" w:styleId="Titre2">
    <w:name w:val="heading 2"/>
    <w:basedOn w:val="Normal"/>
    <w:next w:val="Normal"/>
    <w:qFormat/>
    <w:pPr>
      <w:keepNext/>
      <w:spacing w:before="240" w:after="60"/>
      <w:outlineLvl w:val="1"/>
    </w:pPr>
    <w:rPr>
      <w:rFonts w:cs="Arial"/>
      <w:b/>
      <w:bCs/>
      <w:i/>
      <w:iCs/>
      <w:sz w:val="28"/>
      <w:szCs w:val="28"/>
    </w:rPr>
  </w:style>
  <w:style w:type="paragraph" w:styleId="Titre3">
    <w:name w:val="heading 3"/>
    <w:basedOn w:val="Normal"/>
    <w:next w:val="Normal"/>
    <w:qFormat/>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Pr>
      <w:sz w:val="20"/>
      <w:szCs w:val="20"/>
    </w:rPr>
  </w:style>
  <w:style w:type="character" w:styleId="Appelnotedebasdep">
    <w:name w:val="footnote reference"/>
    <w:rPr>
      <w:vertAlign w:val="superscript"/>
    </w:rPr>
  </w:style>
  <w:style w:type="character" w:styleId="Lienhypertexte">
    <w:name w:val="Hyperlink"/>
    <w:rPr>
      <w:color w:val="0000FF"/>
      <w:u w:val="single"/>
    </w:rPr>
  </w:style>
  <w:style w:type="paragraph" w:styleId="Paragraphedeliste">
    <w:name w:val="List Paragraph"/>
    <w:basedOn w:val="Normal"/>
    <w:uiPriority w:val="34"/>
    <w:qFormat/>
    <w:pPr>
      <w:ind w:left="708"/>
    </w:pPr>
  </w:style>
  <w:style w:type="paragraph" w:styleId="En-tte">
    <w:name w:val="header"/>
    <w:basedOn w:val="Normal"/>
    <w:link w:val="En-tteCar"/>
    <w:pPr>
      <w:tabs>
        <w:tab w:val="center" w:pos="4536"/>
        <w:tab w:val="right" w:pos="9072"/>
      </w:tabs>
    </w:pPr>
  </w:style>
  <w:style w:type="character" w:customStyle="1" w:styleId="En-tteCar">
    <w:name w:val="En-tête Car"/>
    <w:link w:val="En-tte"/>
    <w:rPr>
      <w:rFonts w:ascii="Arial" w:hAnsi="Arial"/>
      <w:sz w:val="22"/>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rFonts w:ascii="Arial" w:hAnsi="Arial"/>
      <w:sz w:val="22"/>
      <w:szCs w:val="24"/>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character" w:customStyle="1" w:styleId="NotedebasdepageCar">
    <w:name w:val="Note de bas de page Car"/>
    <w:link w:val="Notedebasdepage"/>
    <w:rPr>
      <w:rFonts w:ascii="Arial" w:hAnsi="Arial"/>
    </w:rPr>
  </w:style>
  <w:style w:type="paragraph" w:customStyle="1" w:styleId="dmodeles-petite-loiconfectiontexteloitexte">
    <w:name w:val="dmodeles-petite-loiconfectiontexteloitexte"/>
    <w:basedOn w:val="Normal"/>
    <w:pPr>
      <w:spacing w:before="100" w:beforeAutospacing="1" w:after="100" w:afterAutospacing="1"/>
    </w:pPr>
    <w:rPr>
      <w:rFonts w:ascii="Times New Roman" w:hAnsi="Times New Roman"/>
      <w:sz w:val="24"/>
    </w:rPr>
  </w:style>
  <w:style w:type="character" w:styleId="CitationHTML">
    <w:name w:val="HTML Cite"/>
    <w:basedOn w:val="Policepardfaut"/>
    <w:uiPriority w:val="99"/>
    <w:unhideWhenUsed/>
    <w:rsid w:val="001162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mi.is@aquitaine.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gional_policy/sources/docgener" TargetMode="External"/><Relationship Id="rId2" Type="http://schemas.openxmlformats.org/officeDocument/2006/relationships/hyperlink" Target="http://www.avise.org" TargetMode="External"/><Relationship Id="rId1" Type="http://schemas.openxmlformats.org/officeDocument/2006/relationships/hyperlink" Target="http://www.institutgodi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BEB4-D3F7-45AC-B0D9-D09BF0C5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2412</Words>
  <Characters>13860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AMI Innovation sociale</vt:lpstr>
    </vt:vector>
  </TitlesOfParts>
  <Company>CRA</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 Innovation sociale</dc:title>
  <dc:creator>Jacques Lepriol</dc:creator>
  <cp:lastModifiedBy>lepriol</cp:lastModifiedBy>
  <cp:revision>3</cp:revision>
  <cp:lastPrinted>2014-04-03T07:04:00Z</cp:lastPrinted>
  <dcterms:created xsi:type="dcterms:W3CDTF">2015-02-17T09:51:00Z</dcterms:created>
  <dcterms:modified xsi:type="dcterms:W3CDTF">2015-03-19T16:52:00Z</dcterms:modified>
</cp:coreProperties>
</file>