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36787" w14:paraId="7606185D" w14:textId="77777777" w:rsidTr="00836787">
        <w:tc>
          <w:tcPr>
            <w:tcW w:w="9212" w:type="dxa"/>
          </w:tcPr>
          <w:p w14:paraId="7606185A" w14:textId="77777777" w:rsidR="00836787" w:rsidRDefault="00836787" w:rsidP="0083678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7606185B" w14:textId="77777777" w:rsidR="00836787" w:rsidRDefault="00836787" w:rsidP="00836787">
            <w:pPr>
              <w:jc w:val="center"/>
              <w:rPr>
                <w:b/>
                <w:bCs/>
                <w:sz w:val="24"/>
                <w:szCs w:val="24"/>
              </w:rPr>
            </w:pPr>
            <w:r w:rsidRPr="00836787">
              <w:rPr>
                <w:b/>
                <w:bCs/>
                <w:sz w:val="24"/>
                <w:szCs w:val="24"/>
              </w:rPr>
              <w:t>LA NOTION D’AIDE D’ETAT</w:t>
            </w:r>
          </w:p>
          <w:p w14:paraId="7606185C" w14:textId="77777777" w:rsidR="00836787" w:rsidRPr="00836787" w:rsidRDefault="00836787" w:rsidP="008367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06185E" w14:textId="77777777" w:rsidR="00836787" w:rsidRPr="00836787" w:rsidRDefault="00836787" w:rsidP="00836787">
      <w:pPr>
        <w:rPr>
          <w:sz w:val="24"/>
          <w:szCs w:val="24"/>
        </w:rPr>
      </w:pPr>
    </w:p>
    <w:p w14:paraId="7606185F" w14:textId="77777777" w:rsidR="00836787" w:rsidRPr="00836787" w:rsidRDefault="006E54C0" w:rsidP="00836787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36787" w:rsidRPr="00836787">
        <w:rPr>
          <w:sz w:val="24"/>
          <w:szCs w:val="24"/>
        </w:rPr>
        <w:t xml:space="preserve">Traité sur le Fonctionnement de l’Union Européenne (TFUE) dispose que : </w:t>
      </w:r>
    </w:p>
    <w:p w14:paraId="76061860" w14:textId="77777777" w:rsidR="00836787" w:rsidRPr="00836787" w:rsidRDefault="00836787" w:rsidP="00836787">
      <w:pPr>
        <w:rPr>
          <w:i/>
          <w:iCs/>
          <w:sz w:val="24"/>
          <w:szCs w:val="24"/>
        </w:rPr>
      </w:pPr>
      <w:r w:rsidRPr="00836787">
        <w:rPr>
          <w:i/>
          <w:iCs/>
          <w:sz w:val="24"/>
          <w:szCs w:val="24"/>
        </w:rPr>
        <w:t xml:space="preserve">« Sauf dérogations prévues par les traités, sont incompatibles avec le marché intérieur, dans la mesure où elles affectent les échanges entre </w:t>
      </w:r>
      <w:r w:rsidR="00DD396A">
        <w:rPr>
          <w:i/>
          <w:iCs/>
          <w:sz w:val="24"/>
          <w:szCs w:val="24"/>
        </w:rPr>
        <w:t>Etat</w:t>
      </w:r>
      <w:r w:rsidRPr="00836787">
        <w:rPr>
          <w:i/>
          <w:iCs/>
          <w:sz w:val="24"/>
          <w:szCs w:val="24"/>
        </w:rPr>
        <w:t xml:space="preserve">s membres, les aides accordées par les </w:t>
      </w:r>
      <w:r w:rsidR="00DD396A">
        <w:rPr>
          <w:i/>
          <w:iCs/>
          <w:sz w:val="24"/>
          <w:szCs w:val="24"/>
        </w:rPr>
        <w:t>Etat</w:t>
      </w:r>
      <w:r w:rsidRPr="00836787">
        <w:rPr>
          <w:i/>
          <w:iCs/>
          <w:sz w:val="24"/>
          <w:szCs w:val="24"/>
        </w:rPr>
        <w:t>s ou au moyen de ressources d'</w:t>
      </w:r>
      <w:r w:rsidR="00DD396A">
        <w:rPr>
          <w:i/>
          <w:iCs/>
          <w:sz w:val="24"/>
          <w:szCs w:val="24"/>
        </w:rPr>
        <w:t>Etat</w:t>
      </w:r>
      <w:r w:rsidRPr="00836787">
        <w:rPr>
          <w:i/>
          <w:iCs/>
          <w:sz w:val="24"/>
          <w:szCs w:val="24"/>
        </w:rPr>
        <w:t xml:space="preserve"> sous quelque forme que ce soit qui faussent ou qui menacent de fausser la concurrence en favorisant certaines entreprises ou certaines productions. »</w:t>
      </w:r>
      <w:r w:rsidR="006E54C0">
        <w:rPr>
          <w:i/>
          <w:iCs/>
          <w:sz w:val="24"/>
          <w:szCs w:val="24"/>
        </w:rPr>
        <w:t xml:space="preserve"> (article 107 §1)</w:t>
      </w:r>
    </w:p>
    <w:p w14:paraId="76061861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>Le traité ne définit pas ce qu’est une aide d’</w:t>
      </w:r>
      <w:r w:rsidR="00DD396A">
        <w:rPr>
          <w:sz w:val="24"/>
          <w:szCs w:val="24"/>
        </w:rPr>
        <w:t>Etat</w:t>
      </w:r>
      <w:r w:rsidRPr="00836787">
        <w:rPr>
          <w:sz w:val="24"/>
          <w:szCs w:val="24"/>
        </w:rPr>
        <w:t>.</w:t>
      </w:r>
    </w:p>
    <w:p w14:paraId="76061862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>La Commission et la Cour de Justice de l’Union Européenne (CJCE) ont donné à cette notion une conception extensive.</w:t>
      </w:r>
    </w:p>
    <w:p w14:paraId="76061863" w14:textId="77777777" w:rsidR="00836787" w:rsidRPr="00836787" w:rsidRDefault="00836787" w:rsidP="00836787">
      <w:pPr>
        <w:rPr>
          <w:sz w:val="24"/>
          <w:szCs w:val="24"/>
        </w:rPr>
      </w:pPr>
    </w:p>
    <w:p w14:paraId="76061864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 xml:space="preserve">L’aide est une intervention procurant </w:t>
      </w:r>
      <w:r w:rsidRPr="00836787">
        <w:rPr>
          <w:b/>
          <w:bCs/>
          <w:sz w:val="24"/>
          <w:szCs w:val="24"/>
        </w:rPr>
        <w:t>un avantage économique à l’entreprise bénéficiaire qu’elle n’aurait pas obtenu dans des conditions de marché</w:t>
      </w:r>
      <w:r w:rsidRPr="00836787">
        <w:rPr>
          <w:sz w:val="24"/>
          <w:szCs w:val="24"/>
        </w:rPr>
        <w:t>.</w:t>
      </w:r>
    </w:p>
    <w:p w14:paraId="76061865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i/>
          <w:iCs/>
          <w:sz w:val="24"/>
          <w:szCs w:val="24"/>
        </w:rPr>
        <w:t>« Toute entité exerçant une activité économique, indépendamment du statut juridique de cette entité et de son mode de financement »</w:t>
      </w:r>
      <w:r w:rsidRPr="00836787">
        <w:rPr>
          <w:sz w:val="24"/>
          <w:szCs w:val="24"/>
        </w:rPr>
        <w:t>  (CJCE, 23/04/91, HÖFFNER, aff. C-41/90) est une entreprise au sens du droit communautaire.</w:t>
      </w:r>
    </w:p>
    <w:p w14:paraId="76061866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 xml:space="preserve">La Commission et la CJCE considèrent que </w:t>
      </w:r>
      <w:r w:rsidRPr="00836787">
        <w:rPr>
          <w:i/>
          <w:iCs/>
          <w:sz w:val="24"/>
          <w:szCs w:val="24"/>
        </w:rPr>
        <w:t>« toute activité consistant à offrir des biens ou des services sur un marché donné » (</w:t>
      </w:r>
      <w:r w:rsidRPr="00836787">
        <w:rPr>
          <w:sz w:val="24"/>
          <w:szCs w:val="24"/>
        </w:rPr>
        <w:t>CJCE, 16/06/87, Commission c/ Italie, aff. C-118/85) est une activité économique.</w:t>
      </w:r>
    </w:p>
    <w:p w14:paraId="76061867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>Le critère déterminant est l’existence d’une rémunération, d’une contrepartie économique du service fourni qui révèle l’existence d’un marché. Il est à noter que l’absence de but lucratif de l’entité n’est pas suffisant pour écarter la qualification d’activité économique. Seules certaines activités échappent à cette qualification (service sociaux d’intérêt général ou relevant de compétences régaliennes).</w:t>
      </w:r>
    </w:p>
    <w:p w14:paraId="76061868" w14:textId="77777777" w:rsidR="00836787" w:rsidRPr="00836787" w:rsidRDefault="00836787" w:rsidP="00836787">
      <w:pPr>
        <w:rPr>
          <w:sz w:val="24"/>
          <w:szCs w:val="24"/>
        </w:rPr>
      </w:pPr>
    </w:p>
    <w:p w14:paraId="76061869" w14:textId="77777777" w:rsidR="00836787" w:rsidRPr="00836787" w:rsidRDefault="00836787" w:rsidP="00836787">
      <w:pPr>
        <w:rPr>
          <w:b/>
          <w:bCs/>
          <w:sz w:val="24"/>
          <w:szCs w:val="24"/>
        </w:rPr>
      </w:pPr>
      <w:r w:rsidRPr="00836787">
        <w:rPr>
          <w:b/>
          <w:bCs/>
          <w:sz w:val="24"/>
          <w:szCs w:val="24"/>
        </w:rPr>
        <w:t>Une aide d’</w:t>
      </w:r>
      <w:r w:rsidR="00DD396A">
        <w:rPr>
          <w:b/>
          <w:bCs/>
          <w:sz w:val="24"/>
          <w:szCs w:val="24"/>
        </w:rPr>
        <w:t>Etat</w:t>
      </w:r>
      <w:r w:rsidRPr="00836787">
        <w:rPr>
          <w:b/>
          <w:bCs/>
          <w:sz w:val="24"/>
          <w:szCs w:val="24"/>
        </w:rPr>
        <w:t xml:space="preserve"> se définit par quatre critères cumulatifs :</w:t>
      </w:r>
    </w:p>
    <w:p w14:paraId="7606186A" w14:textId="77777777" w:rsidR="00836787" w:rsidRPr="00836787" w:rsidRDefault="00836787" w:rsidP="00836787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836787">
        <w:rPr>
          <w:b/>
          <w:bCs/>
          <w:sz w:val="24"/>
          <w:szCs w:val="24"/>
        </w:rPr>
        <w:t>Une aide publique</w:t>
      </w:r>
    </w:p>
    <w:p w14:paraId="7606186B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 xml:space="preserve">L’avantage est </w:t>
      </w:r>
      <w:r w:rsidRPr="00836787">
        <w:rPr>
          <w:i/>
          <w:iCs/>
          <w:sz w:val="24"/>
          <w:szCs w:val="24"/>
        </w:rPr>
        <w:t>« accordé par l’Etat ou au moyen de ressources d’Etat »</w:t>
      </w:r>
      <w:r w:rsidRPr="00836787">
        <w:rPr>
          <w:sz w:val="24"/>
          <w:szCs w:val="24"/>
        </w:rPr>
        <w:t xml:space="preserve"> (art. 107 § 1 TFUE) au sens large (Etat, collectivité</w:t>
      </w:r>
      <w:r w:rsidR="006E54C0">
        <w:rPr>
          <w:sz w:val="24"/>
          <w:szCs w:val="24"/>
        </w:rPr>
        <w:t>s</w:t>
      </w:r>
      <w:r w:rsidRPr="00836787">
        <w:rPr>
          <w:sz w:val="24"/>
          <w:szCs w:val="24"/>
        </w:rPr>
        <w:t xml:space="preserve"> territoriales, personnes publiques, </w:t>
      </w:r>
      <w:r w:rsidR="00DD396A">
        <w:rPr>
          <w:sz w:val="24"/>
          <w:szCs w:val="24"/>
        </w:rPr>
        <w:t>organisme spécialement institué ou habilité</w:t>
      </w:r>
      <w:r w:rsidRPr="00836787">
        <w:rPr>
          <w:sz w:val="24"/>
          <w:szCs w:val="24"/>
        </w:rPr>
        <w:t xml:space="preserve"> pour la gestion de l’aide).</w:t>
      </w:r>
    </w:p>
    <w:p w14:paraId="7606186C" w14:textId="77777777" w:rsidR="00836787" w:rsidRPr="00836787" w:rsidRDefault="00DD396A" w:rsidP="00836787">
      <w:pPr>
        <w:rPr>
          <w:sz w:val="24"/>
          <w:szCs w:val="24"/>
        </w:rPr>
      </w:pPr>
      <w:r>
        <w:rPr>
          <w:sz w:val="24"/>
          <w:szCs w:val="24"/>
        </w:rPr>
        <w:t>Constitue</w:t>
      </w:r>
      <w:r w:rsidR="00836787" w:rsidRPr="00836787">
        <w:rPr>
          <w:sz w:val="24"/>
          <w:szCs w:val="24"/>
        </w:rPr>
        <w:t xml:space="preserve"> </w:t>
      </w:r>
      <w:r>
        <w:rPr>
          <w:sz w:val="24"/>
          <w:szCs w:val="24"/>
        </w:rPr>
        <w:t>une aide</w:t>
      </w:r>
      <w:r w:rsidR="006E54C0">
        <w:rPr>
          <w:sz w:val="24"/>
          <w:szCs w:val="24"/>
        </w:rPr>
        <w:t>,</w:t>
      </w:r>
      <w:r>
        <w:rPr>
          <w:sz w:val="24"/>
          <w:szCs w:val="24"/>
        </w:rPr>
        <w:t xml:space="preserve"> toute forme d’avantage financier direct ou indirect qui allège</w:t>
      </w:r>
      <w:r w:rsidR="00836787" w:rsidRPr="00836787">
        <w:rPr>
          <w:sz w:val="24"/>
          <w:szCs w:val="24"/>
        </w:rPr>
        <w:t xml:space="preserve"> les charges normales </w:t>
      </w:r>
      <w:r>
        <w:rPr>
          <w:sz w:val="24"/>
          <w:szCs w:val="24"/>
        </w:rPr>
        <w:t>d’une</w:t>
      </w:r>
      <w:r w:rsidR="00836787" w:rsidRPr="00836787">
        <w:rPr>
          <w:sz w:val="24"/>
          <w:szCs w:val="24"/>
        </w:rPr>
        <w:t xml:space="preserve"> </w:t>
      </w:r>
      <w:r w:rsidRPr="00836787">
        <w:rPr>
          <w:sz w:val="24"/>
          <w:szCs w:val="24"/>
        </w:rPr>
        <w:t>entreprise</w:t>
      </w:r>
      <w:r w:rsidR="00836787" w:rsidRPr="00836787">
        <w:rPr>
          <w:sz w:val="24"/>
          <w:szCs w:val="24"/>
        </w:rPr>
        <w:t>.</w:t>
      </w:r>
    </w:p>
    <w:p w14:paraId="7606186D" w14:textId="77777777" w:rsidR="00836787" w:rsidRPr="00836787" w:rsidRDefault="00836787" w:rsidP="00836787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836787">
        <w:rPr>
          <w:b/>
          <w:bCs/>
          <w:sz w:val="24"/>
          <w:szCs w:val="24"/>
        </w:rPr>
        <w:t xml:space="preserve">Une aide sélective : </w:t>
      </w:r>
    </w:p>
    <w:p w14:paraId="7606186E" w14:textId="77777777" w:rsidR="00836787" w:rsidRPr="00836787" w:rsidRDefault="00836787" w:rsidP="00836787">
      <w:pPr>
        <w:rPr>
          <w:i/>
          <w:iCs/>
          <w:sz w:val="24"/>
          <w:szCs w:val="24"/>
        </w:rPr>
      </w:pPr>
      <w:r w:rsidRPr="00836787">
        <w:rPr>
          <w:sz w:val="24"/>
          <w:szCs w:val="24"/>
        </w:rPr>
        <w:t>Elle « (</w:t>
      </w:r>
      <w:r w:rsidRPr="00836787">
        <w:rPr>
          <w:i/>
          <w:iCs/>
          <w:sz w:val="24"/>
          <w:szCs w:val="24"/>
        </w:rPr>
        <w:t>favorise) certaines entreprises ou certaines productions. »</w:t>
      </w:r>
      <w:r w:rsidRPr="00836787">
        <w:rPr>
          <w:sz w:val="24"/>
          <w:szCs w:val="24"/>
        </w:rPr>
        <w:t xml:space="preserve"> (art. 107 § 1 TFUE)</w:t>
      </w:r>
    </w:p>
    <w:p w14:paraId="7606186F" w14:textId="77777777" w:rsidR="00836787" w:rsidRPr="00836787" w:rsidRDefault="00836787" w:rsidP="00836787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836787">
        <w:rPr>
          <w:b/>
          <w:bCs/>
          <w:sz w:val="24"/>
          <w:szCs w:val="24"/>
        </w:rPr>
        <w:lastRenderedPageBreak/>
        <w:t>Une aide affectant la concurrence :</w:t>
      </w:r>
    </w:p>
    <w:p w14:paraId="76061870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>Il s’agit du commerce interne comme intracommunautaire.</w:t>
      </w:r>
    </w:p>
    <w:p w14:paraId="76061871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>Cette notion est large : l’affectation de la concurrence pe</w:t>
      </w:r>
      <w:r w:rsidR="006E54C0">
        <w:rPr>
          <w:sz w:val="24"/>
          <w:szCs w:val="24"/>
        </w:rPr>
        <w:t xml:space="preserve">ut être actuelle ou potentielle. </w:t>
      </w:r>
      <w:r w:rsidR="006E54C0" w:rsidRPr="00836787">
        <w:rPr>
          <w:sz w:val="24"/>
          <w:szCs w:val="24"/>
        </w:rPr>
        <w:t>Si</w:t>
      </w:r>
      <w:r w:rsidRPr="00836787">
        <w:rPr>
          <w:sz w:val="24"/>
          <w:szCs w:val="24"/>
        </w:rPr>
        <w:t xml:space="preserve"> elle est susceptible dans sa nature de menacer la concurrence, cela est suffisant pour emporter la qualification d’aide d’</w:t>
      </w:r>
      <w:r w:rsidR="00DD396A">
        <w:rPr>
          <w:sz w:val="24"/>
          <w:szCs w:val="24"/>
        </w:rPr>
        <w:t>Etat</w:t>
      </w:r>
      <w:r w:rsidRPr="00836787">
        <w:rPr>
          <w:sz w:val="24"/>
          <w:szCs w:val="24"/>
        </w:rPr>
        <w:t>.</w:t>
      </w:r>
    </w:p>
    <w:p w14:paraId="76061872" w14:textId="77777777" w:rsidR="00836787" w:rsidRPr="00836787" w:rsidRDefault="00836787" w:rsidP="00836787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836787">
        <w:rPr>
          <w:b/>
          <w:bCs/>
          <w:sz w:val="24"/>
          <w:szCs w:val="24"/>
        </w:rPr>
        <w:t>Une aide affectant les échanges intracommunautaires :</w:t>
      </w:r>
    </w:p>
    <w:p w14:paraId="76061873" w14:textId="77777777" w:rsidR="00836787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>Toute aide qui renforce la position d’une entreprise par rapport à ses concurrentes sur le marché européen ou international est présumée affecter les échanges intracommunautaires.</w:t>
      </w:r>
    </w:p>
    <w:p w14:paraId="76061874" w14:textId="77777777" w:rsidR="0004642F" w:rsidRPr="00836787" w:rsidRDefault="00836787" w:rsidP="00836787">
      <w:pPr>
        <w:rPr>
          <w:sz w:val="24"/>
          <w:szCs w:val="24"/>
        </w:rPr>
      </w:pPr>
      <w:r w:rsidRPr="00836787">
        <w:rPr>
          <w:sz w:val="24"/>
          <w:szCs w:val="24"/>
        </w:rPr>
        <w:t xml:space="preserve">Les aides inférieures à </w:t>
      </w:r>
      <w:r w:rsidR="00312319">
        <w:rPr>
          <w:sz w:val="24"/>
          <w:szCs w:val="24"/>
        </w:rPr>
        <w:t xml:space="preserve">un </w:t>
      </w:r>
      <w:r w:rsidRPr="00836787">
        <w:rPr>
          <w:sz w:val="24"/>
          <w:szCs w:val="24"/>
        </w:rPr>
        <w:t>certain montant, dites de minimis</w:t>
      </w:r>
      <w:r w:rsidR="006E54C0">
        <w:rPr>
          <w:rStyle w:val="Appelnotedebasdep"/>
          <w:sz w:val="24"/>
          <w:szCs w:val="24"/>
        </w:rPr>
        <w:footnoteReference w:id="1"/>
      </w:r>
      <w:r w:rsidRPr="00836787">
        <w:rPr>
          <w:sz w:val="24"/>
          <w:szCs w:val="24"/>
        </w:rPr>
        <w:t>, n’entrent pas dans le champ de l’art. 107 § TFUE. Elles sont toutefois soumises</w:t>
      </w:r>
      <w:r w:rsidR="00DD396A">
        <w:rPr>
          <w:sz w:val="24"/>
          <w:szCs w:val="24"/>
        </w:rPr>
        <w:t xml:space="preserve"> à des obligations de forme</w:t>
      </w:r>
      <w:r w:rsidR="007A7ECB" w:rsidRPr="007A7ECB">
        <w:rPr>
          <w:sz w:val="24"/>
          <w:szCs w:val="24"/>
        </w:rPr>
        <w:t xml:space="preserve"> et de contrôle.</w:t>
      </w:r>
    </w:p>
    <w:sectPr w:rsidR="0004642F" w:rsidRPr="0083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61877" w14:textId="77777777" w:rsidR="006E54C0" w:rsidRDefault="006E54C0" w:rsidP="006E54C0">
      <w:pPr>
        <w:spacing w:before="0" w:line="240" w:lineRule="auto"/>
      </w:pPr>
      <w:r>
        <w:separator/>
      </w:r>
    </w:p>
  </w:endnote>
  <w:endnote w:type="continuationSeparator" w:id="0">
    <w:p w14:paraId="76061878" w14:textId="77777777" w:rsidR="006E54C0" w:rsidRDefault="006E54C0" w:rsidP="006E54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61875" w14:textId="77777777" w:rsidR="006E54C0" w:rsidRDefault="006E54C0" w:rsidP="006E54C0">
      <w:pPr>
        <w:spacing w:before="0" w:line="240" w:lineRule="auto"/>
      </w:pPr>
      <w:r>
        <w:separator/>
      </w:r>
    </w:p>
  </w:footnote>
  <w:footnote w:type="continuationSeparator" w:id="0">
    <w:p w14:paraId="76061876" w14:textId="77777777" w:rsidR="006E54C0" w:rsidRDefault="006E54C0" w:rsidP="006E54C0">
      <w:pPr>
        <w:spacing w:before="0" w:line="240" w:lineRule="auto"/>
      </w:pPr>
      <w:r>
        <w:continuationSeparator/>
      </w:r>
    </w:p>
  </w:footnote>
  <w:footnote w:id="1">
    <w:p w14:paraId="76061879" w14:textId="77777777" w:rsidR="006E54C0" w:rsidRPr="006E54C0" w:rsidRDefault="006E54C0" w:rsidP="006E54C0">
      <w:pPr>
        <w:pStyle w:val="Notedebasdepage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6E54C0">
        <w:rPr>
          <w:bCs/>
        </w:rPr>
        <w:t xml:space="preserve">Règlement (UE) n° 1407/2013 de la commission du 18 décembre 2013 relatif à l’application des articles 107 et 108 du Traité sur le Fonctionnement de l’Union Européenne aux aides de minimis : </w:t>
      </w:r>
      <w:r>
        <w:rPr>
          <w:bCs/>
        </w:rPr>
        <w:t xml:space="preserve">il </w:t>
      </w:r>
      <w:r w:rsidRPr="006E54C0">
        <w:rPr>
          <w:bCs/>
        </w:rPr>
        <w:t>autorise des aides n’excédant pas le plafond de 200 000 euros par entreprise consolidée sur une période de 3 exercices fiscaux.</w:t>
      </w:r>
    </w:p>
    <w:p w14:paraId="7606187A" w14:textId="77777777" w:rsidR="006E54C0" w:rsidRDefault="006E54C0" w:rsidP="006E54C0">
      <w:pPr>
        <w:pStyle w:val="Notedebasdepage"/>
      </w:pPr>
      <w:r>
        <w:rPr>
          <w:bCs/>
        </w:rPr>
        <w:t xml:space="preserve">Règlement n° </w:t>
      </w:r>
      <w:r w:rsidRPr="006E54C0">
        <w:rPr>
          <w:bCs/>
        </w:rPr>
        <w:t xml:space="preserve">360/2012 de la Commission du 25 avril 2012 relatif à l’application des articles 107 et 108 du traité sur le fonctionnement de l’Union européenne aux aides </w:t>
      </w:r>
      <w:r w:rsidRPr="006E54C0">
        <w:rPr>
          <w:bCs/>
          <w:i/>
          <w:iCs/>
        </w:rPr>
        <w:t xml:space="preserve">de minimis </w:t>
      </w:r>
      <w:r w:rsidRPr="006E54C0">
        <w:rPr>
          <w:bCs/>
        </w:rPr>
        <w:t xml:space="preserve">accordées à des entreprises fournissant des </w:t>
      </w:r>
      <w:r>
        <w:rPr>
          <w:bCs/>
        </w:rPr>
        <w:t xml:space="preserve">Service d’Intérêt Economique Général (SIEG) : </w:t>
      </w:r>
      <w:r w:rsidR="00933097">
        <w:rPr>
          <w:bCs/>
        </w:rPr>
        <w:t xml:space="preserve">il </w:t>
      </w:r>
      <w:r>
        <w:rPr>
          <w:bCs/>
        </w:rPr>
        <w:t xml:space="preserve">autorise les </w:t>
      </w:r>
      <w:r w:rsidRPr="006E54C0">
        <w:t>compensations aux entreprises chargées de SIEG et qui sont inférieures à 500.000€ sur trois exercices fiscaux.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16AC3"/>
    <w:multiLevelType w:val="hybridMultilevel"/>
    <w:tmpl w:val="2604B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5747D"/>
    <w:multiLevelType w:val="multilevel"/>
    <w:tmpl w:val="94DAEFD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87"/>
    <w:rsid w:val="0004642F"/>
    <w:rsid w:val="00201CED"/>
    <w:rsid w:val="00301806"/>
    <w:rsid w:val="00312319"/>
    <w:rsid w:val="004A6780"/>
    <w:rsid w:val="005B37D6"/>
    <w:rsid w:val="00691E31"/>
    <w:rsid w:val="006E54C0"/>
    <w:rsid w:val="007A7ECB"/>
    <w:rsid w:val="00836787"/>
    <w:rsid w:val="00933097"/>
    <w:rsid w:val="009C0923"/>
    <w:rsid w:val="00BE7ED2"/>
    <w:rsid w:val="00DD396A"/>
    <w:rsid w:val="00D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185A"/>
  <w15:docId w15:val="{E4352273-DEF1-4B0D-94F7-A4E2B566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E7ED2"/>
    <w:pPr>
      <w:numPr>
        <w:numId w:val="5"/>
      </w:num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240" w:after="240" w:line="240" w:lineRule="auto"/>
      <w:outlineLvl w:val="0"/>
    </w:pPr>
    <w:rPr>
      <w:rFonts w:eastAsia="Times New Roman" w:cs="Arial"/>
      <w:b/>
      <w:bCs/>
      <w:cap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A6780"/>
    <w:pPr>
      <w:keepLines/>
      <w:numPr>
        <w:ilvl w:val="1"/>
        <w:numId w:val="5"/>
      </w:numPr>
      <w:spacing w:before="240" w:line="240" w:lineRule="auto"/>
      <w:outlineLvl w:val="1"/>
    </w:pPr>
    <w:rPr>
      <w:rFonts w:eastAsia="Times New Roman" w:cs="Arial"/>
      <w:b/>
      <w:b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4A6780"/>
    <w:pPr>
      <w:keepLines/>
      <w:numPr>
        <w:ilvl w:val="2"/>
        <w:numId w:val="5"/>
      </w:numPr>
      <w:spacing w:before="240" w:line="240" w:lineRule="auto"/>
      <w:outlineLvl w:val="2"/>
    </w:pPr>
    <w:rPr>
      <w:rFonts w:eastAsia="Times New Roman" w:cs="Arial"/>
      <w:b/>
      <w:bCs/>
      <w:i/>
      <w:i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4A6780"/>
    <w:pPr>
      <w:keepLines/>
      <w:numPr>
        <w:ilvl w:val="3"/>
        <w:numId w:val="5"/>
      </w:numPr>
      <w:spacing w:after="120" w:line="240" w:lineRule="auto"/>
      <w:outlineLvl w:val="3"/>
    </w:pPr>
    <w:rPr>
      <w:rFonts w:eastAsia="Times New Roman" w:cs="Arial"/>
      <w:b/>
      <w:bCs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4A6780"/>
    <w:pPr>
      <w:keepLines/>
      <w:numPr>
        <w:ilvl w:val="4"/>
        <w:numId w:val="5"/>
      </w:numPr>
      <w:spacing w:before="240" w:after="60" w:line="240" w:lineRule="auto"/>
      <w:outlineLvl w:val="4"/>
    </w:pPr>
    <w:rPr>
      <w:rFonts w:eastAsia="Times New Roman" w:cs="Arial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E7ED2"/>
    <w:rPr>
      <w:rFonts w:eastAsia="Times New Roman" w:cs="Arial"/>
      <w:b/>
      <w:bCs/>
      <w:cap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A6780"/>
    <w:rPr>
      <w:rFonts w:eastAsia="Times New Roman" w:cs="Arial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4A6780"/>
    <w:rPr>
      <w:rFonts w:eastAsia="Times New Roman" w:cs="Arial"/>
      <w:b/>
      <w:bCs/>
      <w:i/>
      <w:i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A6780"/>
    <w:rPr>
      <w:rFonts w:eastAsia="Times New Roman" w:cs="Arial"/>
      <w:b/>
      <w:bCs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4A6780"/>
    <w:rPr>
      <w:rFonts w:eastAsia="Times New Roman" w:cs="Arial"/>
      <w:sz w:val="22"/>
      <w:lang w:eastAsia="fr-FR"/>
    </w:rPr>
  </w:style>
  <w:style w:type="table" w:styleId="Grilledutableau">
    <w:name w:val="Table Grid"/>
    <w:basedOn w:val="TableauNormal"/>
    <w:uiPriority w:val="59"/>
    <w:rsid w:val="0083678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54C0"/>
    <w:pPr>
      <w:spacing w:before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54C0"/>
    <w:rPr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54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CA - Publication" ma:contentTypeID="0x010100B67DF5657F714595992DC83419FF75110052A420DD900A95459D33FE44702F868B" ma:contentTypeVersion="10" ma:contentTypeDescription="Type de contenu des publications" ma:contentTypeScope="" ma:versionID="6c29785cf587fd20d534cf6918820244">
  <xsd:schema xmlns:xsd="http://www.w3.org/2001/XMLSchema" xmlns:xs="http://www.w3.org/2001/XMLSchema" xmlns:p="http://schemas.microsoft.com/office/2006/metadata/properties" xmlns:ns2="e8c32b9b-364e-442f-be7a-e63f5405ceea" xmlns:ns4="2d214971-d97d-4c0e-a953-be088122a15e" targetNamespace="http://schemas.microsoft.com/office/2006/metadata/properties" ma:root="true" ma:fieldsID="49331a1f7fc1989db9e6a4cd337cda3b" ns2:_="" ns4:_="">
    <xsd:import namespace="e8c32b9b-364e-442f-be7a-e63f5405ceea"/>
    <xsd:import namespace="2d214971-d97d-4c0e-a953-be088122a15e"/>
    <xsd:element name="properties">
      <xsd:complexType>
        <xsd:sequence>
          <xsd:element name="documentManagement">
            <xsd:complexType>
              <xsd:all>
                <xsd:element ref="ns2:PACA_Publication_Category"/>
                <xsd:element ref="ns4:Ordre_x0020_d_x0027_affichage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32b9b-364e-442f-be7a-e63f5405ceea" elementFormDefault="qualified">
    <xsd:import namespace="http://schemas.microsoft.com/office/2006/documentManagement/types"/>
    <xsd:import namespace="http://schemas.microsoft.com/office/infopath/2007/PartnerControls"/>
    <xsd:element name="PACA_Publication_Category" ma:index="2" ma:displayName="Catégorie" ma:format="Dropdown" ma:internalName="PACA_Publication_Category" ma:readOnly="false">
      <xsd:simpleType>
        <xsd:union memberTypes="dms:Text">
          <xsd:simpleType>
            <xsd:restriction base="dms:Choice">
              <xsd:enumeration value="Génér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14971-d97d-4c0e-a953-be088122a15e" elementFormDefault="qualified">
    <xsd:import namespace="http://schemas.microsoft.com/office/2006/documentManagement/types"/>
    <xsd:import namespace="http://schemas.microsoft.com/office/infopath/2007/PartnerControls"/>
    <xsd:element name="Ordre_x0020_d_x0027_affichage" ma:index="4" nillable="true" ma:displayName="Ordre d'affichage" ma:internalName="Ordre_x0020_d_x0027_affichage">
      <xsd:simpleType>
        <xsd:restriction base="dms:Number"/>
      </xsd:simpleType>
    </xsd:element>
    <xsd:element name="TaxCatchAll" ma:index="9" nillable="true" ma:displayName="Taxonomy Catch All Column" ma:hidden="true" ma:list="{aec11752-c9d4-459d-9c66-307576f5bb87}" ma:internalName="TaxCatchAll" ma:showField="CatchAllData" ma:web="2d214971-d97d-4c0e-a953-be088122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c11752-c9d4-459d-9c66-307576f5bb87}" ma:internalName="TaxCatchAllLabel" ma:readOnly="true" ma:showField="CatchAllDataLabel" ma:web="2d214971-d97d-4c0e-a953-be088122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 ma:index="3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CA_Publication_Category xmlns="e8c32b9b-364e-442f-be7a-e63f5405ceea">SIEG et aides d'Etat</PACA_Publication_Category>
    <TaxCatchAll xmlns="2d214971-d97d-4c0e-a953-be088122a15e"/>
    <Ordre_x0020_d_x0027_affichage xmlns="2d214971-d97d-4c0e-a953-be088122a1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741C-A6C2-47D3-A75D-7B6F3993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8FDD0-411A-4F8F-92EC-3EB727C03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32b9b-364e-442f-be7a-e63f5405ceea"/>
    <ds:schemaRef ds:uri="2d214971-d97d-4c0e-a953-be088122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C3E48-39B2-4B84-AB4B-DDD95720333A}">
  <ds:schemaRefs>
    <ds:schemaRef ds:uri="e8c32b9b-364e-442f-be7a-e63f5405cee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2d214971-d97d-4c0e-a953-be088122a15e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937494-C6FA-4057-B7C1-C9395379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2482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Notion aide d'état</vt:lpstr>
    </vt:vector>
  </TitlesOfParts>
  <Company>CR PACA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Notion aide d'état</dc:title>
  <dc:creator>GARCIA Laurence</dc:creator>
  <cp:keywords/>
  <cp:lastModifiedBy>SEIDITA Danièle</cp:lastModifiedBy>
  <cp:revision>2</cp:revision>
  <dcterms:created xsi:type="dcterms:W3CDTF">2015-03-17T11:20:00Z</dcterms:created>
  <dcterms:modified xsi:type="dcterms:W3CDTF">2015-03-17T11:20:00Z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0x010100B67DF5657F714595992DC83419FF75110052A420DD900A95459D33FE44702F868B</vt:lpwstr>
  </property>
</Properties>
</file>