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4A0"/>
      </w:tblPr>
      <w:tblGrid>
        <w:gridCol w:w="3369"/>
        <w:gridCol w:w="2573"/>
        <w:gridCol w:w="3805"/>
      </w:tblGrid>
      <w:tr w:rsidR="00EF6742" w:rsidRPr="007D392A" w:rsidTr="00763754">
        <w:trPr>
          <w:trHeight w:val="1833"/>
        </w:trPr>
        <w:tc>
          <w:tcPr>
            <w:tcW w:w="3369" w:type="dxa"/>
            <w:hideMark/>
          </w:tcPr>
          <w:p w:rsidR="00EF6742" w:rsidRPr="007D392A" w:rsidRDefault="00FE3EBD" w:rsidP="007D392A">
            <w:pPr>
              <w:pStyle w:val="NormalWeb"/>
              <w:spacing w:before="0" w:beforeAutospacing="0" w:after="0" w:afterAutospacing="0" w:line="288" w:lineRule="auto"/>
              <w:textAlignment w:val="baseline"/>
              <w:rPr>
                <w:b/>
              </w:rPr>
            </w:pPr>
            <w:r w:rsidRPr="007D392A">
              <w:rPr>
                <w:rFonts w:eastAsia="Arial Unicode MS"/>
                <w:noProof/>
                <w:lang w:bidi="ar-SA"/>
              </w:rPr>
              <w:drawing>
                <wp:inline distT="0" distB="0" distL="0" distR="0">
                  <wp:extent cx="1799590" cy="15557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9590" cy="1555750"/>
                          </a:xfrm>
                          <a:prstGeom prst="rect">
                            <a:avLst/>
                          </a:prstGeom>
                        </pic:spPr>
                      </pic:pic>
                    </a:graphicData>
                  </a:graphic>
                </wp:inline>
              </w:drawing>
            </w:r>
          </w:p>
        </w:tc>
        <w:tc>
          <w:tcPr>
            <w:tcW w:w="2573" w:type="dxa"/>
          </w:tcPr>
          <w:p w:rsidR="00EF6742" w:rsidRPr="007D392A" w:rsidRDefault="00EF6742" w:rsidP="007D392A">
            <w:pPr>
              <w:pStyle w:val="NormalWeb"/>
              <w:spacing w:before="0" w:beforeAutospacing="0" w:after="0" w:afterAutospacing="0" w:line="288" w:lineRule="auto"/>
              <w:textAlignment w:val="baseline"/>
            </w:pPr>
          </w:p>
        </w:tc>
        <w:tc>
          <w:tcPr>
            <w:tcW w:w="3805" w:type="dxa"/>
            <w:vAlign w:val="center"/>
            <w:hideMark/>
          </w:tcPr>
          <w:p w:rsidR="00EF6742" w:rsidRPr="007D392A" w:rsidRDefault="00EF6742" w:rsidP="007D392A">
            <w:pPr>
              <w:pStyle w:val="NormalWeb"/>
              <w:spacing w:before="0" w:beforeAutospacing="0" w:after="0" w:afterAutospacing="0" w:line="288" w:lineRule="auto"/>
              <w:jc w:val="right"/>
              <w:textAlignment w:val="baseline"/>
            </w:pPr>
            <w:r w:rsidRPr="007D392A">
              <w:rPr>
                <w:noProof/>
                <w:lang w:bidi="ar-SA"/>
              </w:rPr>
              <w:drawing>
                <wp:inline distT="0" distB="0" distL="0" distR="0">
                  <wp:extent cx="1288111" cy="1152938"/>
                  <wp:effectExtent l="0" t="0" r="7620" b="9525"/>
                  <wp:docPr id="11" name="Picture 11" descr="L:\European Entrepreneurial Region\Logos\New logos 2017\3231 EER 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uropean Entrepreneurial Region\Logos\New logos 2017\3231 EER label.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494"/>
                          <a:stretch/>
                        </pic:blipFill>
                        <pic:spPr bwMode="auto">
                          <a:xfrm>
                            <a:off x="0" y="0"/>
                            <a:ext cx="1287745" cy="11526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AE045E" w:rsidRPr="007D392A" w:rsidRDefault="00AE045E" w:rsidP="007D392A">
      <w:pPr>
        <w:jc w:val="center"/>
      </w:pPr>
    </w:p>
    <w:p w:rsidR="00AE045E" w:rsidRPr="007D392A" w:rsidRDefault="00C0417F" w:rsidP="007D392A">
      <w:pPr>
        <w:jc w:val="center"/>
      </w:pPr>
      <w:r w:rsidRPr="00C0417F">
        <w:rPr>
          <w:noProof/>
          <w:sz w:val="20"/>
          <w:lang w:val="fr-BE" w:eastAsia="fr-BE" w:bidi="ar-SA"/>
        </w:rPr>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0EtQIAALk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B2tl0EtQIAALkF&#10;AAAOAAAAAAAAAAAAAAAAAC4CAABkcnMvZTJvRG9jLnhtbFBLAQItABQABgAIAAAAIQDrVDFa3gAA&#10;AA8BAAAPAAAAAAAAAAAAAAAAAA8FAABkcnMvZG93bnJldi54bWxQSwUGAAAAAAQABADzAAAAGgYA&#10;AAAA&#10;" o:allowincell="f" filled="f" stroked="f">
            <v:textbox>
              <w:txbxContent>
                <w:p w:rsidR="00934423" w:rsidRPr="007D392A" w:rsidRDefault="00934423">
                  <w:pPr>
                    <w:jc w:val="center"/>
                    <w:rPr>
                      <w:rFonts w:ascii="Arial" w:hAnsi="Arial" w:cs="Arial"/>
                      <w:b/>
                      <w:bCs/>
                      <w:sz w:val="48"/>
                    </w:rPr>
                  </w:pPr>
                  <w:r w:rsidRPr="007D392A">
                    <w:rPr>
                      <w:rFonts w:ascii="Arial" w:hAnsi="Arial"/>
                      <w:b/>
                      <w:sz w:val="48"/>
                    </w:rPr>
                    <w:t>FR</w:t>
                  </w:r>
                </w:p>
              </w:txbxContent>
            </v:textbox>
            <w10:wrap anchorx="page" anchory="page"/>
          </v:shape>
        </w:pict>
      </w:r>
    </w:p>
    <w:p w:rsidR="00AE045E" w:rsidRPr="007D392A" w:rsidRDefault="00AE045E" w:rsidP="007D392A">
      <w:pPr>
        <w:jc w:val="center"/>
        <w:rPr>
          <w:b/>
          <w:sz w:val="32"/>
          <w:szCs w:val="26"/>
        </w:rPr>
      </w:pPr>
      <w:r w:rsidRPr="007D392A">
        <w:rPr>
          <w:b/>
          <w:sz w:val="32"/>
        </w:rPr>
        <w:t>Prix de la région européenne entreprenante 2020</w:t>
      </w:r>
    </w:p>
    <w:p w:rsidR="00AE045E" w:rsidRPr="007D392A" w:rsidRDefault="00AE045E" w:rsidP="007D392A">
      <w:pPr>
        <w:jc w:val="center"/>
      </w:pPr>
    </w:p>
    <w:p w:rsidR="00AE045E" w:rsidRPr="007D392A" w:rsidRDefault="00AE045E" w:rsidP="007D392A">
      <w:pPr>
        <w:jc w:val="center"/>
        <w:rPr>
          <w:b/>
          <w:i/>
          <w:sz w:val="32"/>
        </w:rPr>
      </w:pPr>
      <w:r w:rsidRPr="007D392A">
        <w:rPr>
          <w:b/>
          <w:sz w:val="32"/>
        </w:rPr>
        <w:t>Comment se porter candidat?</w:t>
      </w:r>
    </w:p>
    <w:p w:rsidR="00AE045E" w:rsidRPr="007D392A" w:rsidRDefault="00AE045E" w:rsidP="007D392A">
      <w:pPr>
        <w:jc w:val="center"/>
      </w:pPr>
    </w:p>
    <w:p w:rsidR="00745060" w:rsidRPr="007D392A" w:rsidRDefault="00745060" w:rsidP="007D392A">
      <w:pPr>
        <w:jc w:val="center"/>
      </w:pPr>
    </w:p>
    <w:p w:rsidR="00F25276" w:rsidRPr="007D392A" w:rsidRDefault="00EA4DF1" w:rsidP="007D392A">
      <w:pPr>
        <w:rPr>
          <w:b/>
        </w:rPr>
      </w:pPr>
      <w:r w:rsidRPr="007D392A">
        <w:rPr>
          <w:b/>
        </w:rPr>
        <w:t>Qu'est-ce que la REE?</w:t>
      </w:r>
    </w:p>
    <w:p w:rsidR="008A5C85" w:rsidRPr="007D392A" w:rsidRDefault="008A5C85" w:rsidP="007D392A"/>
    <w:p w:rsidR="008A5C85" w:rsidRPr="007D392A" w:rsidRDefault="008A5C85" w:rsidP="007D392A">
      <w:r w:rsidRPr="007D392A">
        <w:t xml:space="preserve">Le prix de la Région européenne entreprenante (REE) est une initiative du Comité des régions qui distingue et récompense les régions et les villes de l’UE qui, quelle que soit leur taille, leurs richesses ou leurs compétences, développent des </w:t>
      </w:r>
      <w:r w:rsidRPr="007D392A">
        <w:rPr>
          <w:b/>
        </w:rPr>
        <w:t>stratégies entrepreneuriales</w:t>
      </w:r>
      <w:r w:rsidRPr="007D392A">
        <w:t xml:space="preserve"> exceptionnelles et </w:t>
      </w:r>
      <w:r w:rsidRPr="007D392A">
        <w:rPr>
          <w:b/>
        </w:rPr>
        <w:t>tournées vers l’avenir</w:t>
      </w:r>
      <w:r w:rsidRPr="007D392A">
        <w:t>. Le titre de «Région européenne entreprenante» est décerné pour une année donnée aux territoires qui auront présenté la stratégie politique la plus crédible, la plus visible, la plus tournée vers l’avenir et la plus prometteuse.</w:t>
      </w:r>
    </w:p>
    <w:p w:rsidR="008A5C85" w:rsidRPr="007D392A" w:rsidRDefault="008A5C85" w:rsidP="007D392A"/>
    <w:p w:rsidR="008A5C85" w:rsidRPr="007D392A" w:rsidRDefault="008A5C85" w:rsidP="007D392A">
      <w:r w:rsidRPr="007D392A">
        <w:t>Cette initiative poursuit un double objectif:</w:t>
      </w:r>
    </w:p>
    <w:p w:rsidR="008A5C85" w:rsidRPr="007D392A" w:rsidRDefault="008A5C85" w:rsidP="007D392A"/>
    <w:p w:rsidR="008A5C85" w:rsidRPr="007D392A" w:rsidRDefault="008A5C85" w:rsidP="007D392A">
      <w:pPr>
        <w:numPr>
          <w:ilvl w:val="0"/>
          <w:numId w:val="15"/>
        </w:numPr>
      </w:pPr>
      <w:r w:rsidRPr="007D392A">
        <w:t xml:space="preserve">contribuer à la mise en œuvre en partenariat du </w:t>
      </w:r>
      <w:r w:rsidRPr="007D392A">
        <w:rPr>
          <w:b/>
        </w:rPr>
        <w:t xml:space="preserve">Small Business </w:t>
      </w:r>
      <w:proofErr w:type="spellStart"/>
      <w:r w:rsidRPr="007D392A">
        <w:rPr>
          <w:b/>
        </w:rPr>
        <w:t>Act</w:t>
      </w:r>
      <w:proofErr w:type="spellEnd"/>
      <w:r w:rsidRPr="007D392A">
        <w:t xml:space="preserve"> (SBA);</w:t>
      </w:r>
    </w:p>
    <w:p w:rsidR="008A5C85" w:rsidRPr="007D392A" w:rsidRDefault="008A5C85" w:rsidP="007D392A">
      <w:pPr>
        <w:numPr>
          <w:ilvl w:val="0"/>
          <w:numId w:val="15"/>
        </w:numPr>
      </w:pPr>
      <w:r w:rsidRPr="007D392A">
        <w:t xml:space="preserve">présenter une </w:t>
      </w:r>
      <w:r w:rsidRPr="007D392A">
        <w:rPr>
          <w:b/>
        </w:rPr>
        <w:t>utilisation optimale des fonds de l’UE et des autres fonds publics</w:t>
      </w:r>
      <w:r w:rsidRPr="007D392A">
        <w:t xml:space="preserve"> orientée vers le développement d’une politique entrepreneuriale au sein d’une région donnée.</w:t>
      </w:r>
    </w:p>
    <w:p w:rsidR="008A5C85" w:rsidRPr="007D392A" w:rsidRDefault="008A5C85" w:rsidP="007D392A"/>
    <w:p w:rsidR="008A5C85" w:rsidRPr="007D392A" w:rsidRDefault="008A5C85" w:rsidP="007D392A">
      <w:r w:rsidRPr="007D392A">
        <w:t>Grâce à l’initiative REE, le Comité des régions (CdR) contribue à intégrer les principes du SBA aux niveaux régional et local. Le label REE offre aux acteurs locaux et régionaux la possibilité de mettre en exergue le rôle primordial que jouent les PME et les entrepreneurs dans le renforcement de la résilience de l’économie. En exploitant leur capacité à créer de la croissance et des emplois, le label REE permet aux régions de l’UE de progresser sur la voie de la reprise économique.</w:t>
      </w:r>
    </w:p>
    <w:p w:rsidR="008A5C85" w:rsidRPr="007D392A" w:rsidRDefault="008A5C85" w:rsidP="007D392A"/>
    <w:p w:rsidR="006F74DC" w:rsidRPr="007D392A" w:rsidRDefault="008A5C85" w:rsidP="007D392A">
      <w:r w:rsidRPr="007D392A">
        <w:t xml:space="preserve">Le système de la REE est mis en œuvre selon les principes de la </w:t>
      </w:r>
      <w:r w:rsidRPr="007D392A">
        <w:rPr>
          <w:b/>
        </w:rPr>
        <w:t>gouvernance à niveaux multiples</w:t>
      </w:r>
      <w:r w:rsidR="00BD1733" w:rsidRPr="007D392A">
        <w:t>; il </w:t>
      </w:r>
      <w:r w:rsidRPr="007D392A">
        <w:t>s’agit de promouvoir les communautés régionales de la REE au sein desquelles sont représentés à la fois des acteurs régionaux et locaux. L’initiative REE incite fortement les responsables politiques et les acteurs concernés à développer conjointement des stratégies de mise en œuvre des principes du SBA tels que «créer un environnement dans lequel les entrepreneurs et les entreprises peuvent prospérer», «</w:t>
      </w:r>
      <w:proofErr w:type="spellStart"/>
      <w:r w:rsidRPr="007D392A">
        <w:t>Think</w:t>
      </w:r>
      <w:proofErr w:type="spellEnd"/>
      <w:r w:rsidRPr="007D392A">
        <w:t xml:space="preserve"> Small First» (priorité aux PME), «assurer la réactivité des administrations aux besoins des PME» et «encourager et aider les PME à tirer parti de la croissance des marchés». Ainsi, l’initiative REE favorise l’essor de régions entrepreneuriales, dynamiques et écologiques dans l’ensemble de l’Europe.</w:t>
      </w:r>
    </w:p>
    <w:p w:rsidR="00D56B68" w:rsidRPr="007D392A" w:rsidRDefault="00D56B68" w:rsidP="007D392A"/>
    <w:p w:rsidR="00EA4DF1" w:rsidRPr="007D392A" w:rsidRDefault="00FD3AE5" w:rsidP="007D392A">
      <w:pPr>
        <w:keepNext/>
      </w:pPr>
      <w:r w:rsidRPr="007D392A">
        <w:t>Jusqu’à présent, le label REE a été décerné à vingt-sept régions européennes:</w:t>
      </w:r>
    </w:p>
    <w:p w:rsidR="006F74DC" w:rsidRPr="007D392A" w:rsidRDefault="006F74DC" w:rsidP="007D392A">
      <w:pPr>
        <w:keepNext/>
      </w:pPr>
    </w:p>
    <w:p w:rsidR="00802A44" w:rsidRPr="007D392A" w:rsidRDefault="00EA4DF1" w:rsidP="007D392A">
      <w:pPr>
        <w:keepNext/>
        <w:numPr>
          <w:ilvl w:val="0"/>
          <w:numId w:val="23"/>
        </w:numPr>
      </w:pPr>
      <w:r w:rsidRPr="007D392A">
        <w:rPr>
          <w:b/>
        </w:rPr>
        <w:t>2011</w:t>
      </w:r>
      <w:r w:rsidRPr="007D392A">
        <w:t>: Brandebourg (Allemagne), comté de Kerry (Irlande) et région de Murcie (Espagne);</w:t>
      </w:r>
    </w:p>
    <w:p w:rsidR="00EA4DF1" w:rsidRPr="007D392A" w:rsidRDefault="00EA4DF1" w:rsidP="007D392A">
      <w:pPr>
        <w:keepNext/>
        <w:numPr>
          <w:ilvl w:val="0"/>
          <w:numId w:val="23"/>
        </w:numPr>
      </w:pPr>
      <w:r w:rsidRPr="007D392A">
        <w:rPr>
          <w:b/>
        </w:rPr>
        <w:t>2012</w:t>
      </w:r>
      <w:r w:rsidRPr="007D392A">
        <w:t>: Catalogne (Espagne), Helsinki-Uusimaa (Finlande) et Trnava (Slovaquie);</w:t>
      </w:r>
    </w:p>
    <w:p w:rsidR="00EA4DF1" w:rsidRPr="007D392A" w:rsidRDefault="00EA4DF1" w:rsidP="007D392A">
      <w:pPr>
        <w:numPr>
          <w:ilvl w:val="0"/>
          <w:numId w:val="23"/>
        </w:numPr>
      </w:pPr>
      <w:r w:rsidRPr="007D392A">
        <w:rPr>
          <w:b/>
        </w:rPr>
        <w:t>2013</w:t>
      </w:r>
      <w:r w:rsidRPr="007D392A">
        <w:t>: Nord -Pas-de-Calais (France), Danemark du Sud et Styrie (Autriche);</w:t>
      </w:r>
    </w:p>
    <w:p w:rsidR="00EA4DF1" w:rsidRPr="007D392A" w:rsidRDefault="00EA4DF1" w:rsidP="007D392A">
      <w:pPr>
        <w:numPr>
          <w:ilvl w:val="0"/>
          <w:numId w:val="23"/>
        </w:numPr>
      </w:pPr>
      <w:r w:rsidRPr="007D392A">
        <w:rPr>
          <w:b/>
        </w:rPr>
        <w:t>2014</w:t>
      </w:r>
      <w:r w:rsidRPr="007D392A">
        <w:t>: Flandre (Belgique), Marches (Italie) et Brabant-Septentrional (Pays-Bas);</w:t>
      </w:r>
    </w:p>
    <w:p w:rsidR="00FA4420" w:rsidRPr="007D392A" w:rsidRDefault="008A5C85" w:rsidP="007D392A">
      <w:pPr>
        <w:numPr>
          <w:ilvl w:val="0"/>
          <w:numId w:val="23"/>
        </w:numPr>
      </w:pPr>
      <w:r w:rsidRPr="007D392A">
        <w:rPr>
          <w:b/>
        </w:rPr>
        <w:t>2015</w:t>
      </w:r>
      <w:r w:rsidRPr="007D392A">
        <w:t>: Lisbonne (Portugal), Irlande du Nord (Royaume-Uni) et région de Valence (Espagne);</w:t>
      </w:r>
    </w:p>
    <w:p w:rsidR="00FD3AE5" w:rsidRPr="007D392A" w:rsidRDefault="00FA4420" w:rsidP="007D392A">
      <w:pPr>
        <w:numPr>
          <w:ilvl w:val="0"/>
          <w:numId w:val="23"/>
        </w:numPr>
      </w:pPr>
      <w:r w:rsidRPr="007D392A">
        <w:rPr>
          <w:b/>
        </w:rPr>
        <w:t>2016</w:t>
      </w:r>
      <w:r w:rsidRPr="007D392A">
        <w:t>: Glasgow (Royaume-Uni), Lombardie (Italie) et Petite-Pologne (Pologne);</w:t>
      </w:r>
    </w:p>
    <w:p w:rsidR="00EF6742" w:rsidRPr="007D392A" w:rsidRDefault="00FD3AE5" w:rsidP="007D392A">
      <w:pPr>
        <w:numPr>
          <w:ilvl w:val="0"/>
          <w:numId w:val="23"/>
        </w:numPr>
      </w:pPr>
      <w:r w:rsidRPr="007D392A">
        <w:rPr>
          <w:b/>
        </w:rPr>
        <w:t>2017</w:t>
      </w:r>
      <w:r w:rsidRPr="007D392A">
        <w:t>: Estrémadure (Espagne), Basse-Autriche (Autriche) et Grèce occidentale (Grèce);</w:t>
      </w:r>
    </w:p>
    <w:p w:rsidR="008A5C85" w:rsidRPr="007D392A" w:rsidRDefault="00EF6742" w:rsidP="007D392A">
      <w:pPr>
        <w:numPr>
          <w:ilvl w:val="0"/>
          <w:numId w:val="23"/>
        </w:numPr>
      </w:pPr>
      <w:r w:rsidRPr="007D392A">
        <w:rPr>
          <w:b/>
        </w:rPr>
        <w:t>2018</w:t>
      </w:r>
      <w:r w:rsidRPr="007D392A">
        <w:t>: Macédoine centrale (Grèce), Île-de-France (France) et région Nord-Ouest (Irlande).</w:t>
      </w:r>
    </w:p>
    <w:p w:rsidR="00DC78EB" w:rsidRPr="007D392A" w:rsidRDefault="00DC78EB" w:rsidP="007D392A">
      <w:pPr>
        <w:numPr>
          <w:ilvl w:val="0"/>
          <w:numId w:val="23"/>
        </w:numPr>
      </w:pPr>
      <w:r w:rsidRPr="007D392A">
        <w:rPr>
          <w:b/>
        </w:rPr>
        <w:t>2019</w:t>
      </w:r>
      <w:r w:rsidRPr="007D392A">
        <w:t>: Asturies (Espagne), Gueldre (Pays-Bas), Thessalie (Grèce)</w:t>
      </w:r>
    </w:p>
    <w:p w:rsidR="00C12E76" w:rsidRPr="007D392A" w:rsidRDefault="00C12E76" w:rsidP="007D392A"/>
    <w:p w:rsidR="009443CB" w:rsidRPr="007D392A" w:rsidRDefault="009443CB" w:rsidP="007D392A">
      <w:r w:rsidRPr="007D392A">
        <w:t xml:space="preserve">Le label REE a été créé par le </w:t>
      </w:r>
      <w:r w:rsidRPr="007D392A">
        <w:rPr>
          <w:b/>
        </w:rPr>
        <w:t>Comité des régions</w:t>
      </w:r>
      <w:r w:rsidRPr="007D392A">
        <w:t xml:space="preserve"> en partenariat avec la </w:t>
      </w:r>
      <w:r w:rsidRPr="007D392A">
        <w:rPr>
          <w:b/>
        </w:rPr>
        <w:t>Commission européenne</w:t>
      </w:r>
      <w:r w:rsidR="00BD1733" w:rsidRPr="007D392A">
        <w:t xml:space="preserve"> et </w:t>
      </w:r>
      <w:r w:rsidRPr="007D392A">
        <w:t xml:space="preserve">avec le soutien du </w:t>
      </w:r>
      <w:r w:rsidRPr="007D392A">
        <w:rPr>
          <w:b/>
        </w:rPr>
        <w:t>Parlement européen</w:t>
      </w:r>
      <w:r w:rsidRPr="007D392A">
        <w:t xml:space="preserve">, du </w:t>
      </w:r>
      <w:r w:rsidRPr="007D392A">
        <w:rPr>
          <w:b/>
        </w:rPr>
        <w:t>Comité économique et social européen</w:t>
      </w:r>
      <w:r w:rsidRPr="007D392A">
        <w:t xml:space="preserve"> et de parties prenantes actives au niveau de l’UE, telles que l’</w:t>
      </w:r>
      <w:r w:rsidRPr="007D392A">
        <w:rPr>
          <w:b/>
        </w:rPr>
        <w:t>UEAPME</w:t>
      </w:r>
      <w:r w:rsidRPr="007D392A">
        <w:t xml:space="preserve">, </w:t>
      </w:r>
      <w:proofErr w:type="spellStart"/>
      <w:r w:rsidRPr="007D392A">
        <w:rPr>
          <w:b/>
        </w:rPr>
        <w:t>Eurochambres</w:t>
      </w:r>
      <w:proofErr w:type="spellEnd"/>
      <w:r w:rsidRPr="007D392A">
        <w:t xml:space="preserve"> et </w:t>
      </w:r>
      <w:r w:rsidRPr="007D392A">
        <w:rPr>
          <w:b/>
        </w:rPr>
        <w:t xml:space="preserve">Social </w:t>
      </w:r>
      <w:proofErr w:type="spellStart"/>
      <w:r w:rsidRPr="007D392A">
        <w:rPr>
          <w:b/>
        </w:rPr>
        <w:t>Economy</w:t>
      </w:r>
      <w:proofErr w:type="spellEnd"/>
      <w:r w:rsidRPr="007D392A">
        <w:rPr>
          <w:b/>
        </w:rPr>
        <w:t xml:space="preserve"> Europe</w:t>
      </w:r>
      <w:r w:rsidRPr="007D392A">
        <w:t>.</w:t>
      </w:r>
    </w:p>
    <w:p w:rsidR="009443CB" w:rsidRPr="007D392A" w:rsidRDefault="009443CB" w:rsidP="007D392A"/>
    <w:p w:rsidR="00802A44" w:rsidRPr="007D392A" w:rsidRDefault="009443CB" w:rsidP="007D392A">
      <w:r w:rsidRPr="007D392A">
        <w:t>Le Comité des régions a lancé l’</w:t>
      </w:r>
      <w:r w:rsidRPr="007D392A">
        <w:rPr>
          <w:b/>
        </w:rPr>
        <w:t>appel à candidatures pour l’édition 2020 du prix REE</w:t>
      </w:r>
      <w:r w:rsidR="00BD1733" w:rsidRPr="007D392A">
        <w:t xml:space="preserve"> le </w:t>
      </w:r>
      <w:r w:rsidRPr="007D392A">
        <w:t xml:space="preserve">19 novembre 2018. Le délai pour la présentation des candidatures est fixé au </w:t>
      </w:r>
      <w:r w:rsidR="00BD1733" w:rsidRPr="007D392A">
        <w:rPr>
          <w:b/>
        </w:rPr>
        <w:t>27 mars </w:t>
      </w:r>
      <w:r w:rsidRPr="007D392A">
        <w:rPr>
          <w:b/>
        </w:rPr>
        <w:t>2019</w:t>
      </w:r>
      <w:r w:rsidRPr="007D392A">
        <w:t>.</w:t>
      </w:r>
    </w:p>
    <w:p w:rsidR="00745060" w:rsidRPr="007D392A" w:rsidRDefault="00745060" w:rsidP="007D392A"/>
    <w:p w:rsidR="008A5C85" w:rsidRPr="007D392A" w:rsidRDefault="008A5C85" w:rsidP="007D392A">
      <w:pPr>
        <w:keepNext/>
        <w:rPr>
          <w:b/>
        </w:rPr>
      </w:pPr>
      <w:r w:rsidRPr="007D392A">
        <w:rPr>
          <w:b/>
        </w:rPr>
        <w:t>Comment se porter candidat?</w:t>
      </w:r>
    </w:p>
    <w:p w:rsidR="006F74DC" w:rsidRPr="007D392A" w:rsidRDefault="006F74DC" w:rsidP="007D392A">
      <w:pPr>
        <w:keepNext/>
      </w:pPr>
    </w:p>
    <w:p w:rsidR="00D07992" w:rsidRPr="007D392A" w:rsidRDefault="00D56B68" w:rsidP="007D392A">
      <w:r w:rsidRPr="007D392A">
        <w:t xml:space="preserve">En présentant une candidature comprenant les éléments suivants: </w:t>
      </w:r>
    </w:p>
    <w:p w:rsidR="006F74DC" w:rsidRPr="007D392A" w:rsidRDefault="006F74DC" w:rsidP="007D392A"/>
    <w:p w:rsidR="008A5C85" w:rsidRPr="007D392A" w:rsidRDefault="008A5C85" w:rsidP="007D392A">
      <w:pPr>
        <w:numPr>
          <w:ilvl w:val="0"/>
          <w:numId w:val="17"/>
        </w:numPr>
      </w:pPr>
      <w:r w:rsidRPr="007D392A">
        <w:t xml:space="preserve">un </w:t>
      </w:r>
      <w:r w:rsidRPr="007D392A">
        <w:rPr>
          <w:b/>
        </w:rPr>
        <w:t>formulaire de candidature</w:t>
      </w:r>
      <w:r w:rsidRPr="007D392A">
        <w:t xml:space="preserve">, comprenant une fiche d’information </w:t>
      </w:r>
      <w:r w:rsidR="00BD1733" w:rsidRPr="007D392A">
        <w:t>sur le territoire candidat, une </w:t>
      </w:r>
      <w:r w:rsidRPr="007D392A">
        <w:t>présentation de sa vision politique, une description du mécanisme de gouvernance prévu pour garantir une mise en œuvre efficace des initiatives REE ainsi qu’un programme d’action et un plan de communication;</w:t>
      </w:r>
    </w:p>
    <w:p w:rsidR="008A5C85" w:rsidRPr="007D392A" w:rsidRDefault="008A5C85" w:rsidP="007D392A">
      <w:pPr>
        <w:numPr>
          <w:ilvl w:val="0"/>
          <w:numId w:val="17"/>
        </w:numPr>
      </w:pPr>
      <w:r w:rsidRPr="007D392A">
        <w:t xml:space="preserve">une </w:t>
      </w:r>
      <w:r w:rsidRPr="007D392A">
        <w:rPr>
          <w:b/>
        </w:rPr>
        <w:t>déclaration d’engagement politique</w:t>
      </w:r>
      <w:r w:rsidRPr="007D392A">
        <w:t xml:space="preserve"> démontrant que la str</w:t>
      </w:r>
      <w:r w:rsidR="00BD1733" w:rsidRPr="007D392A">
        <w:t>atégie REE est avalisée par les </w:t>
      </w:r>
      <w:r w:rsidRPr="007D392A">
        <w:t>autorités politiques du territoire en question (par exemple l’assemblée ou le gouvernement régional ou d’autres instances investies d’une autorité).</w:t>
      </w:r>
    </w:p>
    <w:p w:rsidR="008A5C85" w:rsidRPr="007D392A" w:rsidRDefault="008A5C85" w:rsidP="007D392A"/>
    <w:p w:rsidR="008A5C85" w:rsidRPr="007D392A" w:rsidRDefault="008A5C85" w:rsidP="007D392A">
      <w:r w:rsidRPr="007D392A">
        <w:t xml:space="preserve">Le formulaire de candidature REE peut être téléchargé sur la page internet de la REE: </w:t>
      </w:r>
      <w:hyperlink r:id="rId15" w:history="1">
        <w:r w:rsidR="00DC30D3" w:rsidRPr="009B7195">
          <w:rPr>
            <w:rStyle w:val="Lienhypertexte"/>
          </w:rPr>
          <w:t>https://cor.europa.eu/en/engage/Pages/european-entrepreneurial-region.aspx</w:t>
        </w:r>
      </w:hyperlink>
      <w:r w:rsidR="00DC30D3">
        <w:t xml:space="preserve"> </w:t>
      </w:r>
    </w:p>
    <w:p w:rsidR="00C8582F" w:rsidRPr="007D392A" w:rsidRDefault="00C8582F" w:rsidP="007D392A"/>
    <w:p w:rsidR="008A5C85" w:rsidRPr="007D392A" w:rsidRDefault="008A5C85" w:rsidP="007D392A">
      <w:pPr>
        <w:keepNext/>
      </w:pPr>
      <w:r w:rsidRPr="007D392A">
        <w:rPr>
          <w:b/>
        </w:rPr>
        <w:t>Critères d’évaluation</w:t>
      </w:r>
    </w:p>
    <w:p w:rsidR="008A5C85" w:rsidRPr="007D392A" w:rsidRDefault="008A5C85" w:rsidP="007D392A">
      <w:pPr>
        <w:keepNext/>
      </w:pPr>
    </w:p>
    <w:p w:rsidR="008A5C85" w:rsidRPr="007D392A" w:rsidRDefault="008A5C85" w:rsidP="007D392A">
      <w:r w:rsidRPr="007D392A">
        <w:t xml:space="preserve">Les candidatures seront examinées selon les critères suivants: </w:t>
      </w:r>
    </w:p>
    <w:p w:rsidR="008A5C85" w:rsidRPr="007D392A" w:rsidRDefault="008A5C85" w:rsidP="007D392A"/>
    <w:p w:rsidR="008A5C85" w:rsidRPr="007D392A" w:rsidRDefault="008A5C85" w:rsidP="007D392A">
      <w:pPr>
        <w:pStyle w:val="Paragraphedeliste"/>
        <w:numPr>
          <w:ilvl w:val="0"/>
          <w:numId w:val="24"/>
        </w:numPr>
        <w:ind w:left="360"/>
        <w:rPr>
          <w:bCs/>
          <w:iCs/>
        </w:rPr>
      </w:pPr>
      <w:r w:rsidRPr="007D392A">
        <w:rPr>
          <w:b/>
        </w:rPr>
        <w:t>Vision politique et engagement</w:t>
      </w:r>
    </w:p>
    <w:p w:rsidR="008A5C85" w:rsidRPr="007D392A" w:rsidRDefault="008A5C85" w:rsidP="007D392A">
      <w:pPr>
        <w:numPr>
          <w:ilvl w:val="0"/>
          <w:numId w:val="18"/>
        </w:numPr>
      </w:pPr>
      <w:r w:rsidRPr="007D392A">
        <w:t xml:space="preserve">La candidature démontre l’adoption d’une vision politique </w:t>
      </w:r>
      <w:r w:rsidR="00BD1733" w:rsidRPr="007D392A">
        <w:t>tournée vers l’avenir en vue de </w:t>
      </w:r>
      <w:r w:rsidRPr="007D392A">
        <w:t xml:space="preserve">mettre en application le </w:t>
      </w:r>
      <w:r w:rsidRPr="007D392A">
        <w:rPr>
          <w:b/>
        </w:rPr>
        <w:t>SBA pour l’Europe</w:t>
      </w:r>
      <w:r w:rsidRPr="007D392A">
        <w:t xml:space="preserve"> dans le territoire, en se focalisant le cas échéant sur les priorités actuelles du SBA et sur les principes des initiatives politiques qui y sont liées, comme le plan d’action «Entrepreneuriat 2020», le pla</w:t>
      </w:r>
      <w:r w:rsidR="00BD1733" w:rsidRPr="007D392A">
        <w:t>n d’action vert pour les PME et </w:t>
      </w:r>
      <w:r w:rsidRPr="007D392A">
        <w:t xml:space="preserve">l’initiative en faveur des start-up et des </w:t>
      </w:r>
      <w:proofErr w:type="spellStart"/>
      <w:r w:rsidRPr="007D392A">
        <w:t>scale</w:t>
      </w:r>
      <w:proofErr w:type="spellEnd"/>
      <w:r w:rsidRPr="007D392A">
        <w:t>-up.</w:t>
      </w:r>
    </w:p>
    <w:p w:rsidR="008A5C85" w:rsidRPr="007D392A" w:rsidRDefault="008A5C85" w:rsidP="007D392A">
      <w:pPr>
        <w:numPr>
          <w:ilvl w:val="0"/>
          <w:numId w:val="18"/>
        </w:numPr>
        <w:rPr>
          <w:bCs/>
          <w:iCs/>
        </w:rPr>
      </w:pPr>
      <w:r w:rsidRPr="007D392A">
        <w:lastRenderedPageBreak/>
        <w:t xml:space="preserve">La candidature doit être basée sur une </w:t>
      </w:r>
      <w:r w:rsidRPr="007D392A">
        <w:rPr>
          <w:b/>
        </w:rPr>
        <w:t>évaluation réaliste</w:t>
      </w:r>
      <w:r w:rsidRPr="007D392A">
        <w:t xml:space="preserve"> des po</w:t>
      </w:r>
      <w:r w:rsidR="00BD1733" w:rsidRPr="007D392A">
        <w:t>ints forts et des faiblesses du </w:t>
      </w:r>
      <w:r w:rsidRPr="007D392A">
        <w:t>territoire concerné (</w:t>
      </w:r>
      <w:r w:rsidRPr="007D392A">
        <w:rPr>
          <w:b/>
        </w:rPr>
        <w:t>analyse SWOT</w:t>
      </w:r>
      <w:r w:rsidRPr="007D392A">
        <w:t xml:space="preserve">) et de ses compétences </w:t>
      </w:r>
      <w:r w:rsidR="00BD1733" w:rsidRPr="007D392A">
        <w:t>directes en ce qui concerne les </w:t>
      </w:r>
      <w:r w:rsidRPr="007D392A">
        <w:t xml:space="preserve">dix principes du SBA. </w:t>
      </w:r>
      <w:r w:rsidRPr="007D392A">
        <w:rPr>
          <w:b/>
        </w:rPr>
        <w:t>Le contexte et la situation de départ propres à chaque candidat</w:t>
      </w:r>
      <w:r w:rsidRPr="007D392A">
        <w:t xml:space="preserve"> sont pris en considération par les membres du jury.</w:t>
      </w:r>
    </w:p>
    <w:p w:rsidR="008A5C85" w:rsidRPr="007D392A" w:rsidRDefault="008A5C85" w:rsidP="007D392A">
      <w:pPr>
        <w:numPr>
          <w:ilvl w:val="0"/>
          <w:numId w:val="18"/>
        </w:numPr>
        <w:rPr>
          <w:bCs/>
          <w:iCs/>
        </w:rPr>
      </w:pPr>
      <w:r w:rsidRPr="007D392A">
        <w:t xml:space="preserve">La vision politique démontre </w:t>
      </w:r>
      <w:r w:rsidRPr="007D392A">
        <w:rPr>
          <w:b/>
        </w:rPr>
        <w:t>une valeur ajoutée claire du Prix REE</w:t>
      </w:r>
      <w:r w:rsidRPr="007D392A">
        <w:t xml:space="preserve"> pour le territoire, notamment pour l’élaboration de ses propres politiques.</w:t>
      </w:r>
    </w:p>
    <w:p w:rsidR="008A5C85" w:rsidRPr="007D392A" w:rsidRDefault="008A5C85" w:rsidP="007D392A">
      <w:pPr>
        <w:numPr>
          <w:ilvl w:val="0"/>
          <w:numId w:val="18"/>
        </w:numPr>
        <w:rPr>
          <w:bCs/>
          <w:iCs/>
        </w:rPr>
      </w:pPr>
      <w:r w:rsidRPr="007D392A">
        <w:t xml:space="preserve">Les objectifs territoriaux REE sont repris dans une </w:t>
      </w:r>
      <w:r w:rsidRPr="007D392A">
        <w:rPr>
          <w:b/>
        </w:rPr>
        <w:t>stratégie de développement régional</w:t>
      </w:r>
      <w:r w:rsidRPr="007D392A">
        <w:t>.</w:t>
      </w:r>
    </w:p>
    <w:p w:rsidR="008A5C85" w:rsidRPr="007D392A" w:rsidRDefault="008A5C85" w:rsidP="007D392A">
      <w:pPr>
        <w:numPr>
          <w:ilvl w:val="0"/>
          <w:numId w:val="18"/>
        </w:numPr>
        <w:rPr>
          <w:bCs/>
          <w:iCs/>
        </w:rPr>
      </w:pPr>
      <w:r w:rsidRPr="007D392A">
        <w:t xml:space="preserve">Les autorités politiques compétentes doivent </w:t>
      </w:r>
      <w:r w:rsidRPr="007D392A">
        <w:rPr>
          <w:b/>
        </w:rPr>
        <w:t>s’engager fermement et de manière crédible</w:t>
      </w:r>
      <w:r w:rsidR="00BD1733" w:rsidRPr="007D392A">
        <w:t xml:space="preserve"> à </w:t>
      </w:r>
      <w:r w:rsidRPr="007D392A">
        <w:t>mettre en œuvre la stratégie REE dans leur territoire.</w:t>
      </w:r>
    </w:p>
    <w:p w:rsidR="008A5C85" w:rsidRPr="007D392A" w:rsidRDefault="008A5C85" w:rsidP="007D392A">
      <w:pPr>
        <w:rPr>
          <w:bCs/>
          <w:iCs/>
          <w:sz w:val="18"/>
        </w:rPr>
      </w:pPr>
    </w:p>
    <w:p w:rsidR="008A5C85" w:rsidRPr="007D392A" w:rsidRDefault="008A5C85" w:rsidP="007D392A">
      <w:pPr>
        <w:pStyle w:val="Paragraphedeliste"/>
        <w:keepNext/>
        <w:numPr>
          <w:ilvl w:val="0"/>
          <w:numId w:val="24"/>
        </w:numPr>
        <w:ind w:left="360"/>
        <w:rPr>
          <w:bCs/>
          <w:iCs/>
        </w:rPr>
      </w:pPr>
      <w:r w:rsidRPr="007D392A">
        <w:rPr>
          <w:b/>
        </w:rPr>
        <w:t>Gouvernance à niveaux multiples, partenariat et coopération</w:t>
      </w:r>
    </w:p>
    <w:p w:rsidR="008A5C85" w:rsidRPr="007D392A" w:rsidRDefault="008A5C85" w:rsidP="007D392A">
      <w:pPr>
        <w:numPr>
          <w:ilvl w:val="0"/>
          <w:numId w:val="19"/>
        </w:numPr>
        <w:contextualSpacing/>
        <w:rPr>
          <w:sz w:val="24"/>
        </w:rPr>
      </w:pPr>
      <w:r w:rsidRPr="007D392A">
        <w:t xml:space="preserve">La stratégie REE est élaborée et mise en œuvre en suivant une approche de </w:t>
      </w:r>
      <w:r w:rsidR="00BD1733" w:rsidRPr="007D392A">
        <w:rPr>
          <w:b/>
        </w:rPr>
        <w:t>gouvernance à </w:t>
      </w:r>
      <w:r w:rsidRPr="007D392A">
        <w:rPr>
          <w:b/>
        </w:rPr>
        <w:t>niveaux multiples</w:t>
      </w:r>
      <w:r w:rsidRPr="007D392A">
        <w:t xml:space="preserve"> à laquelle participent tant les échelons inférieurs (municipalités, etc.) que, dans la mesure du possible, le niveau national.</w:t>
      </w:r>
    </w:p>
    <w:p w:rsidR="008A5C85" w:rsidRPr="007D392A" w:rsidRDefault="008A5C85" w:rsidP="007D392A">
      <w:pPr>
        <w:numPr>
          <w:ilvl w:val="0"/>
          <w:numId w:val="19"/>
        </w:numPr>
        <w:rPr>
          <w:bCs/>
          <w:iCs/>
        </w:rPr>
      </w:pPr>
      <w:r w:rsidRPr="007D392A">
        <w:t>Un large éventail d’</w:t>
      </w:r>
      <w:r w:rsidRPr="007D392A">
        <w:rPr>
          <w:b/>
        </w:rPr>
        <w:t>acteurs concernés</w:t>
      </w:r>
      <w:r w:rsidRPr="007D392A">
        <w:t xml:space="preserve"> est associé à la conception et à l’application de la stratégie REE, notamment les partenaires sociaux, les établissements d’enseignement et de recherche, et la société civile.</w:t>
      </w:r>
    </w:p>
    <w:p w:rsidR="008A5C85" w:rsidRPr="007D392A" w:rsidRDefault="008A5C85" w:rsidP="007D392A">
      <w:pPr>
        <w:numPr>
          <w:ilvl w:val="0"/>
          <w:numId w:val="20"/>
        </w:numPr>
        <w:rPr>
          <w:bCs/>
          <w:iCs/>
        </w:rPr>
      </w:pPr>
      <w:r w:rsidRPr="007D392A">
        <w:t xml:space="preserve">Il existe une volonté avérée </w:t>
      </w:r>
      <w:r w:rsidRPr="007D392A">
        <w:rPr>
          <w:b/>
        </w:rPr>
        <w:t>d’échanger les meilleures pratiques avec d’autres régions</w:t>
      </w:r>
      <w:r w:rsidRPr="007D392A">
        <w:t xml:space="preserve"> et de développer des initiatives de </w:t>
      </w:r>
      <w:r w:rsidRPr="007D392A">
        <w:rPr>
          <w:b/>
        </w:rPr>
        <w:t>coopération</w:t>
      </w:r>
      <w:r w:rsidRPr="007D392A">
        <w:t xml:space="preserve"> spécifiques </w:t>
      </w:r>
      <w:r w:rsidRPr="007D392A">
        <w:rPr>
          <w:b/>
        </w:rPr>
        <w:t>avec d’autres régions lauréates du prix</w:t>
      </w:r>
      <w:r w:rsidRPr="007D392A">
        <w:t>.</w:t>
      </w:r>
    </w:p>
    <w:p w:rsidR="008A5C85" w:rsidRPr="007D392A" w:rsidRDefault="008A5C85" w:rsidP="007D392A">
      <w:pPr>
        <w:tabs>
          <w:tab w:val="num" w:pos="770"/>
        </w:tabs>
        <w:rPr>
          <w:bCs/>
          <w:iCs/>
          <w:sz w:val="18"/>
        </w:rPr>
      </w:pPr>
    </w:p>
    <w:p w:rsidR="008A5C85" w:rsidRPr="007D392A" w:rsidRDefault="008A5C85" w:rsidP="007D392A">
      <w:pPr>
        <w:pStyle w:val="Paragraphedeliste"/>
        <w:keepNext/>
        <w:numPr>
          <w:ilvl w:val="0"/>
          <w:numId w:val="24"/>
        </w:numPr>
        <w:ind w:left="360"/>
        <w:rPr>
          <w:bCs/>
          <w:iCs/>
        </w:rPr>
      </w:pPr>
      <w:r w:rsidRPr="007D392A">
        <w:rPr>
          <w:b/>
        </w:rPr>
        <w:t>Mise en œuvre</w:t>
      </w:r>
    </w:p>
    <w:p w:rsidR="008A5C85" w:rsidRPr="007D392A" w:rsidRDefault="008A5C85" w:rsidP="007D392A">
      <w:pPr>
        <w:numPr>
          <w:ilvl w:val="0"/>
          <w:numId w:val="21"/>
        </w:numPr>
        <w:rPr>
          <w:bCs/>
          <w:iCs/>
        </w:rPr>
      </w:pPr>
      <w:r w:rsidRPr="007D392A">
        <w:t xml:space="preserve">La stratégie prévoit des </w:t>
      </w:r>
      <w:r w:rsidRPr="007D392A">
        <w:rPr>
          <w:b/>
        </w:rPr>
        <w:t>actions concrètes</w:t>
      </w:r>
      <w:r w:rsidRPr="007D392A">
        <w:t xml:space="preserve"> visant à mettre en œuvre les principes du SBA qui relèvent de la compétence du territoire dans le cadre de l’initiative REE, et </w:t>
      </w:r>
      <w:r w:rsidRPr="007D392A">
        <w:rPr>
          <w:b/>
        </w:rPr>
        <w:t>ne se borne</w:t>
      </w:r>
      <w:r w:rsidR="00BD1733" w:rsidRPr="007D392A">
        <w:rPr>
          <w:b/>
        </w:rPr>
        <w:t xml:space="preserve"> pas à </w:t>
      </w:r>
      <w:r w:rsidRPr="007D392A">
        <w:rPr>
          <w:b/>
        </w:rPr>
        <w:t>faire la synthèse de politiques existantes</w:t>
      </w:r>
      <w:r w:rsidRPr="007D392A">
        <w:t>.</w:t>
      </w:r>
    </w:p>
    <w:p w:rsidR="008A5C85" w:rsidRPr="007D392A" w:rsidRDefault="008A5C85" w:rsidP="007D392A">
      <w:pPr>
        <w:numPr>
          <w:ilvl w:val="0"/>
          <w:numId w:val="21"/>
        </w:numPr>
        <w:rPr>
          <w:bCs/>
          <w:iCs/>
        </w:rPr>
      </w:pPr>
      <w:r w:rsidRPr="007D392A">
        <w:t xml:space="preserve">La mise en œuvre des mesures REE respecte les principes de la bonne gouvernance et passe notamment par la mise en place de </w:t>
      </w:r>
      <w:r w:rsidRPr="007D392A">
        <w:rPr>
          <w:b/>
        </w:rPr>
        <w:t>mécanismes de contrôle et de suivi efficaces</w:t>
      </w:r>
      <w:r w:rsidRPr="007D392A">
        <w:t>.</w:t>
      </w:r>
    </w:p>
    <w:p w:rsidR="008A5C85" w:rsidRPr="007D392A" w:rsidRDefault="008A5C85" w:rsidP="007D392A">
      <w:pPr>
        <w:numPr>
          <w:ilvl w:val="0"/>
          <w:numId w:val="21"/>
        </w:numPr>
        <w:rPr>
          <w:bCs/>
          <w:iCs/>
          <w:sz w:val="24"/>
        </w:rPr>
      </w:pPr>
      <w:r w:rsidRPr="007D392A">
        <w:t xml:space="preserve">Des </w:t>
      </w:r>
      <w:r w:rsidRPr="007D392A">
        <w:rPr>
          <w:b/>
        </w:rPr>
        <w:t>indicateurs</w:t>
      </w:r>
      <w:r w:rsidRPr="007D392A">
        <w:t xml:space="preserve"> sont définis qui permettront de mesurer les avancées de la mise en œuvre.</w:t>
      </w:r>
    </w:p>
    <w:p w:rsidR="008A5C85" w:rsidRPr="007D392A" w:rsidRDefault="008A5C85" w:rsidP="007D392A">
      <w:pPr>
        <w:numPr>
          <w:ilvl w:val="0"/>
          <w:numId w:val="21"/>
        </w:numPr>
        <w:rPr>
          <w:bCs/>
          <w:iCs/>
          <w:sz w:val="24"/>
        </w:rPr>
      </w:pPr>
      <w:r w:rsidRPr="007D392A">
        <w:t xml:space="preserve">La candidature présente des mesures visant à assurer une </w:t>
      </w:r>
      <w:r w:rsidRPr="007D392A">
        <w:rPr>
          <w:b/>
        </w:rPr>
        <w:t>utilisation optimale des Fonds structurels et d’investissement européens</w:t>
      </w:r>
      <w:r w:rsidRPr="007D392A">
        <w:t xml:space="preserve"> et d’autres fonds publics.</w:t>
      </w:r>
    </w:p>
    <w:p w:rsidR="008A5C85" w:rsidRPr="007D392A" w:rsidRDefault="008A5C85" w:rsidP="007D392A">
      <w:pPr>
        <w:numPr>
          <w:ilvl w:val="0"/>
          <w:numId w:val="21"/>
        </w:numPr>
        <w:rPr>
          <w:bCs/>
          <w:iCs/>
        </w:rPr>
      </w:pPr>
      <w:r w:rsidRPr="007D392A">
        <w:t xml:space="preserve">La candidature démontre la </w:t>
      </w:r>
      <w:r w:rsidRPr="007D392A">
        <w:rPr>
          <w:b/>
        </w:rPr>
        <w:t>nature durable des mesures REE au-delà de l’année du Prix</w:t>
      </w:r>
      <w:r w:rsidRPr="007D392A">
        <w:t>.</w:t>
      </w:r>
    </w:p>
    <w:p w:rsidR="008A5C85" w:rsidRPr="007D392A" w:rsidRDefault="008A5C85" w:rsidP="007D392A">
      <w:pPr>
        <w:numPr>
          <w:ilvl w:val="0"/>
          <w:numId w:val="21"/>
        </w:numPr>
        <w:rPr>
          <w:bCs/>
          <w:iCs/>
        </w:rPr>
      </w:pPr>
      <w:r w:rsidRPr="007D392A">
        <w:t xml:space="preserve">Les actions prévues prennent en considération, dans la mesure du possible, </w:t>
      </w:r>
      <w:r w:rsidRPr="007D392A">
        <w:rPr>
          <w:b/>
        </w:rPr>
        <w:t>les dimensions sociales, environnementales et favorables à l’innovation et à une croissance durable</w:t>
      </w:r>
      <w:r w:rsidRPr="007D392A">
        <w:t xml:space="preserve"> de la politique en faveur des PME.</w:t>
      </w:r>
    </w:p>
    <w:p w:rsidR="008A5C85" w:rsidRPr="007D392A" w:rsidRDefault="008A5C85" w:rsidP="007D392A">
      <w:pPr>
        <w:tabs>
          <w:tab w:val="num" w:pos="770"/>
        </w:tabs>
        <w:rPr>
          <w:bCs/>
          <w:iCs/>
          <w:sz w:val="18"/>
        </w:rPr>
      </w:pPr>
    </w:p>
    <w:p w:rsidR="008A5C85" w:rsidRPr="007D392A" w:rsidRDefault="008A5C85" w:rsidP="007D392A">
      <w:pPr>
        <w:pStyle w:val="Paragraphedeliste"/>
        <w:keepNext/>
        <w:numPr>
          <w:ilvl w:val="0"/>
          <w:numId w:val="24"/>
        </w:numPr>
        <w:ind w:left="360"/>
        <w:rPr>
          <w:bCs/>
          <w:iCs/>
        </w:rPr>
      </w:pPr>
      <w:r w:rsidRPr="007D392A">
        <w:rPr>
          <w:b/>
        </w:rPr>
        <w:t>Communication</w:t>
      </w:r>
    </w:p>
    <w:p w:rsidR="008A5C85" w:rsidRPr="007D392A" w:rsidRDefault="008A5C85" w:rsidP="007D392A">
      <w:pPr>
        <w:numPr>
          <w:ilvl w:val="0"/>
          <w:numId w:val="22"/>
        </w:numPr>
        <w:rPr>
          <w:bCs/>
          <w:iCs/>
        </w:rPr>
      </w:pPr>
      <w:r w:rsidRPr="007D392A">
        <w:t xml:space="preserve">La candidature comprend un </w:t>
      </w:r>
      <w:r w:rsidRPr="007D392A">
        <w:rPr>
          <w:b/>
        </w:rPr>
        <w:t>plan de communication</w:t>
      </w:r>
      <w:r w:rsidRPr="007D392A">
        <w:t xml:space="preserve"> ambitieux</w:t>
      </w:r>
      <w:r w:rsidR="00BD1733" w:rsidRPr="007D392A">
        <w:t xml:space="preserve"> et convaincant qui prévoit des </w:t>
      </w:r>
      <w:r w:rsidRPr="007D392A">
        <w:t xml:space="preserve">actions spécifiques </w:t>
      </w:r>
      <w:r w:rsidRPr="007D392A">
        <w:rPr>
          <w:b/>
        </w:rPr>
        <w:t>au plus haut niveau</w:t>
      </w:r>
      <w:r w:rsidRPr="007D392A">
        <w:t xml:space="preserve">, qui visent tous les </w:t>
      </w:r>
      <w:r w:rsidRPr="007D392A">
        <w:rPr>
          <w:b/>
        </w:rPr>
        <w:t>principaux groupes cibles</w:t>
      </w:r>
      <w:r w:rsidRPr="007D392A">
        <w:t xml:space="preserve"> (notamment les PME et d’autres acteurs concernés).</w:t>
      </w:r>
    </w:p>
    <w:p w:rsidR="008A5C85" w:rsidRPr="007D392A" w:rsidRDefault="008A5C85" w:rsidP="007D392A">
      <w:pPr>
        <w:numPr>
          <w:ilvl w:val="0"/>
          <w:numId w:val="22"/>
        </w:numPr>
        <w:rPr>
          <w:bCs/>
          <w:iCs/>
        </w:rPr>
      </w:pPr>
      <w:r w:rsidRPr="007D392A">
        <w:t xml:space="preserve">Le </w:t>
      </w:r>
      <w:r w:rsidRPr="007D392A">
        <w:rPr>
          <w:b/>
        </w:rPr>
        <w:t>label REE</w:t>
      </w:r>
      <w:r w:rsidRPr="007D392A">
        <w:t xml:space="preserve"> sera utilisé pour faire connaître la politique de la région, tant sur son propre territoire qu’au niveau de l’UE.</w:t>
      </w:r>
    </w:p>
    <w:p w:rsidR="008A5C85" w:rsidRPr="007D392A" w:rsidRDefault="008A5C85" w:rsidP="007D392A">
      <w:pPr>
        <w:numPr>
          <w:ilvl w:val="0"/>
          <w:numId w:val="22"/>
        </w:numPr>
        <w:rPr>
          <w:bCs/>
          <w:iCs/>
        </w:rPr>
      </w:pPr>
      <w:r w:rsidRPr="007D392A">
        <w:t xml:space="preserve">Les actions de communication planifiées renforceront </w:t>
      </w:r>
      <w:r w:rsidRPr="007D392A">
        <w:rPr>
          <w:b/>
        </w:rPr>
        <w:t>la visibilité de l’UE et du CdR</w:t>
      </w:r>
      <w:r w:rsidRPr="007D392A">
        <w:t>.</w:t>
      </w:r>
    </w:p>
    <w:p w:rsidR="008A5C85" w:rsidRPr="007D392A" w:rsidRDefault="008A5C85" w:rsidP="007D392A"/>
    <w:p w:rsidR="008A5C85" w:rsidRPr="007D392A" w:rsidRDefault="008A5C85" w:rsidP="007D392A">
      <w:pPr>
        <w:keepNext/>
        <w:rPr>
          <w:b/>
        </w:rPr>
      </w:pPr>
      <w:r w:rsidRPr="007D392A">
        <w:rPr>
          <w:b/>
        </w:rPr>
        <w:lastRenderedPageBreak/>
        <w:t>Éligibilité</w:t>
      </w:r>
    </w:p>
    <w:p w:rsidR="008A5C85" w:rsidRPr="007D392A" w:rsidRDefault="008A5C85" w:rsidP="007D392A">
      <w:pPr>
        <w:keepNext/>
      </w:pPr>
    </w:p>
    <w:p w:rsidR="008A5C85" w:rsidRPr="007D392A" w:rsidRDefault="008A5C85" w:rsidP="007D392A">
      <w:r w:rsidRPr="007D392A">
        <w:t>Le label REE est ouvert à toute entité infranationale des États membres dotée de compétences au niveau politique lui permettant de mettre en œuvre une vision entrepreneuriale globale, quelles que soient sa</w:t>
      </w:r>
      <w:r w:rsidR="00BD1733" w:rsidRPr="007D392A">
        <w:t> </w:t>
      </w:r>
      <w:r w:rsidRPr="007D392A">
        <w:t>taille, sa richesse ou ses compétences spécifiques. Peu importe qu’une régio</w:t>
      </w:r>
      <w:r w:rsidR="00BD1733" w:rsidRPr="007D392A">
        <w:t>n soit dotée ou non de </w:t>
      </w:r>
      <w:r w:rsidRPr="007D392A">
        <w:t>compétences législatives. Le jury prend en compte le budget de chaque candidat, les défis structurels et territoriaux auxquels il est confronté et sa situation économique de départ. Le label demeure accessible non seulement aux régions qui réussissent mais également à celles qui</w:t>
      </w:r>
      <w:r w:rsidR="00BD1733" w:rsidRPr="007D392A">
        <w:t>, alors qu’elles connaissent un </w:t>
      </w:r>
      <w:r w:rsidRPr="007D392A">
        <w:t>retard de développement, s’engagent à mettre en œuvre les changements nécessaires pour développer leur potentiel entrepreneurial.</w:t>
      </w:r>
    </w:p>
    <w:p w:rsidR="008A5C85" w:rsidRPr="007D392A" w:rsidRDefault="008A5C85" w:rsidP="007D392A"/>
    <w:p w:rsidR="008A5C85" w:rsidRPr="007D392A" w:rsidRDefault="008A5C85" w:rsidP="007D392A">
      <w:r w:rsidRPr="007D392A">
        <w:t xml:space="preserve">Le terme «région» doit s’entendre au sens large, englobant les communautés, communautés autonomes, départements, Länder, provinces, comtés, régions métropolitaines, grandes villes et territoires transfrontaliers dotés de la personnalité juridique tels que les GECT et les </w:t>
      </w:r>
      <w:proofErr w:type="spellStart"/>
      <w:r w:rsidRPr="007D392A">
        <w:t>Eurorégions</w:t>
      </w:r>
      <w:proofErr w:type="spellEnd"/>
      <w:r w:rsidRPr="007D392A">
        <w:t>. Pour être éligible, le candidat doit disposer de la compétence politique nécessaire pour mettre en œuvre une stratégie politique globale visant à intégrer quelques-uns ou l’ensemble des principes du SBA. Les villes et les régions transfrontalières sont particulièrement encouragées à se porter candidates.</w:t>
      </w:r>
    </w:p>
    <w:p w:rsidR="00CD2877" w:rsidRPr="007D392A" w:rsidRDefault="00CD2877" w:rsidP="007D392A"/>
    <w:p w:rsidR="00D07992" w:rsidRPr="007D392A" w:rsidRDefault="00D56B68" w:rsidP="007D392A">
      <w:pPr>
        <w:keepNext/>
      </w:pPr>
      <w:r w:rsidRPr="007D392A">
        <w:rPr>
          <w:b/>
        </w:rPr>
        <w:t>Calendrier</w:t>
      </w:r>
    </w:p>
    <w:p w:rsidR="006F74DC" w:rsidRPr="007D392A" w:rsidRDefault="006F74DC" w:rsidP="007D392A">
      <w:pPr>
        <w:keepNext/>
      </w:pPr>
    </w:p>
    <w:tbl>
      <w:tblPr>
        <w:tblW w:w="8884" w:type="dxa"/>
        <w:tblLook w:val="04A0"/>
      </w:tblPr>
      <w:tblGrid>
        <w:gridCol w:w="2376"/>
        <w:gridCol w:w="6508"/>
      </w:tblGrid>
      <w:tr w:rsidR="00924A7A" w:rsidRPr="007D392A">
        <w:tc>
          <w:tcPr>
            <w:tcW w:w="2376" w:type="dxa"/>
          </w:tcPr>
          <w:p w:rsidR="00C12E76" w:rsidRPr="007D392A" w:rsidRDefault="00BD1733" w:rsidP="007D392A">
            <w:pPr>
              <w:numPr>
                <w:ilvl w:val="0"/>
                <w:numId w:val="11"/>
              </w:numPr>
              <w:tabs>
                <w:tab w:val="clear" w:pos="0"/>
              </w:tabs>
            </w:pPr>
            <w:r w:rsidRPr="007D392A">
              <w:t>19 novembre </w:t>
            </w:r>
            <w:r w:rsidR="00FD332F" w:rsidRPr="007D392A">
              <w:t>2018:</w:t>
            </w:r>
          </w:p>
        </w:tc>
        <w:tc>
          <w:tcPr>
            <w:tcW w:w="6508" w:type="dxa"/>
            <w:shd w:val="clear" w:color="auto" w:fill="auto"/>
          </w:tcPr>
          <w:p w:rsidR="00C12E76" w:rsidRPr="007D392A" w:rsidRDefault="00C12E76" w:rsidP="007D392A">
            <w:r w:rsidRPr="007D392A">
              <w:t>Lancement de l’appel à candidatures pour la REE 2020.</w:t>
            </w:r>
          </w:p>
        </w:tc>
      </w:tr>
      <w:tr w:rsidR="00924A7A" w:rsidRPr="007D392A">
        <w:tc>
          <w:tcPr>
            <w:tcW w:w="2376" w:type="dxa"/>
          </w:tcPr>
          <w:p w:rsidR="00C12E76" w:rsidRPr="007D392A" w:rsidRDefault="00BD1733" w:rsidP="007D392A">
            <w:pPr>
              <w:numPr>
                <w:ilvl w:val="0"/>
                <w:numId w:val="11"/>
              </w:numPr>
              <w:tabs>
                <w:tab w:val="clear" w:pos="0"/>
              </w:tabs>
            </w:pPr>
            <w:r w:rsidRPr="007D392A">
              <w:t>27 mars </w:t>
            </w:r>
            <w:r w:rsidR="00FD332F" w:rsidRPr="007D392A">
              <w:t>2019:</w:t>
            </w:r>
          </w:p>
        </w:tc>
        <w:tc>
          <w:tcPr>
            <w:tcW w:w="6508" w:type="dxa"/>
            <w:shd w:val="clear" w:color="auto" w:fill="auto"/>
          </w:tcPr>
          <w:p w:rsidR="00C12E76" w:rsidRPr="007D392A" w:rsidRDefault="00C12E76" w:rsidP="007D392A">
            <w:r w:rsidRPr="007D392A">
              <w:t>Délai pour la présentation des candidatures.</w:t>
            </w:r>
          </w:p>
        </w:tc>
      </w:tr>
      <w:tr w:rsidR="00924A7A" w:rsidRPr="007D392A">
        <w:tc>
          <w:tcPr>
            <w:tcW w:w="2376" w:type="dxa"/>
          </w:tcPr>
          <w:p w:rsidR="00C12E76" w:rsidRPr="007D392A" w:rsidRDefault="00BD1733" w:rsidP="007D392A">
            <w:pPr>
              <w:numPr>
                <w:ilvl w:val="0"/>
                <w:numId w:val="11"/>
              </w:numPr>
              <w:tabs>
                <w:tab w:val="clear" w:pos="0"/>
              </w:tabs>
            </w:pPr>
            <w:r w:rsidRPr="007D392A">
              <w:t>25-26 juin </w:t>
            </w:r>
            <w:r w:rsidR="00FD332F" w:rsidRPr="007D392A">
              <w:t>2019:</w:t>
            </w:r>
          </w:p>
        </w:tc>
        <w:tc>
          <w:tcPr>
            <w:tcW w:w="6508" w:type="dxa"/>
            <w:shd w:val="clear" w:color="auto" w:fill="auto"/>
          </w:tcPr>
          <w:p w:rsidR="00C12E76" w:rsidRPr="007D392A" w:rsidRDefault="00C12E76" w:rsidP="007D392A">
            <w:r w:rsidRPr="007D392A">
              <w:t>EER 2020 – remise des labels.</w:t>
            </w:r>
          </w:p>
        </w:tc>
      </w:tr>
    </w:tbl>
    <w:p w:rsidR="006F74DC" w:rsidRPr="007D392A" w:rsidRDefault="006F74DC" w:rsidP="007D392A"/>
    <w:p w:rsidR="00D56B68" w:rsidRPr="007D392A" w:rsidRDefault="00D56B68" w:rsidP="007D392A">
      <w:pPr>
        <w:pBdr>
          <w:top w:val="single" w:sz="12" w:space="1" w:color="auto"/>
          <w:left w:val="single" w:sz="12" w:space="4" w:color="auto"/>
          <w:bottom w:val="single" w:sz="12" w:space="1" w:color="auto"/>
          <w:right w:val="single" w:sz="12" w:space="4" w:color="auto"/>
        </w:pBdr>
        <w:jc w:val="center"/>
        <w:rPr>
          <w:i/>
        </w:rPr>
      </w:pPr>
      <w:r w:rsidRPr="007D392A">
        <w:rPr>
          <w:i/>
        </w:rPr>
        <w:t xml:space="preserve">Merci de soumettre votre candidature pour le titre de REE 2020 par courrier électronique, accompagné d’une déclaration écrite d’engagement politique, à l’adresse </w:t>
      </w:r>
      <w:hyperlink r:id="rId16">
        <w:r w:rsidRPr="007D392A">
          <w:rPr>
            <w:rStyle w:val="Lienhypertexte"/>
            <w:i/>
          </w:rPr>
          <w:t>eer-cdr@cor.europa.eu</w:t>
        </w:r>
      </w:hyperlink>
    </w:p>
    <w:p w:rsidR="00D56B68" w:rsidRPr="007D392A" w:rsidRDefault="00D56B68" w:rsidP="007D392A">
      <w:pPr>
        <w:pBdr>
          <w:top w:val="single" w:sz="12" w:space="1" w:color="auto"/>
          <w:left w:val="single" w:sz="12" w:space="4" w:color="auto"/>
          <w:bottom w:val="single" w:sz="12" w:space="1" w:color="auto"/>
          <w:right w:val="single" w:sz="12" w:space="4" w:color="auto"/>
        </w:pBdr>
        <w:jc w:val="center"/>
        <w:rPr>
          <w:b/>
          <w:i/>
        </w:rPr>
      </w:pPr>
      <w:r w:rsidRPr="007D392A">
        <w:rPr>
          <w:b/>
          <w:i/>
        </w:rPr>
        <w:t>Date-limite de date limite de dép</w:t>
      </w:r>
      <w:r w:rsidR="00BD1733" w:rsidRPr="007D392A">
        <w:rPr>
          <w:b/>
          <w:i/>
        </w:rPr>
        <w:t>ôt des candidatures: le 27 mars </w:t>
      </w:r>
      <w:r w:rsidRPr="007D392A">
        <w:rPr>
          <w:b/>
          <w:i/>
        </w:rPr>
        <w:t>2019</w:t>
      </w:r>
    </w:p>
    <w:p w:rsidR="00CD2877" w:rsidRPr="007D392A" w:rsidRDefault="00CD2877" w:rsidP="007D392A">
      <w:pPr>
        <w:suppressAutoHyphens/>
      </w:pPr>
    </w:p>
    <w:p w:rsidR="00442D4F" w:rsidRPr="007D392A" w:rsidRDefault="00442D4F" w:rsidP="007D392A">
      <w:pPr>
        <w:tabs>
          <w:tab w:val="left" w:pos="2127"/>
        </w:tabs>
        <w:suppressAutoHyphens/>
      </w:pPr>
      <w:r w:rsidRPr="007D392A">
        <w:rPr>
          <w:b/>
        </w:rPr>
        <w:t>Pour en savoir plus:</w:t>
      </w:r>
      <w:r w:rsidRPr="007D392A">
        <w:tab/>
      </w:r>
      <w:hyperlink r:id="rId17" w:history="1">
        <w:r w:rsidR="00DC30D3" w:rsidRPr="009B7195">
          <w:rPr>
            <w:rStyle w:val="Lienhypertexte"/>
          </w:rPr>
          <w:t>https://cor.europa.eu/en/engage/Pages/european-entrepreneurial-region.aspx</w:t>
        </w:r>
      </w:hyperlink>
      <w:r w:rsidR="00DC30D3">
        <w:t xml:space="preserve"> </w:t>
      </w:r>
      <w:bookmarkStart w:id="0" w:name="_GoBack"/>
      <w:bookmarkEnd w:id="0"/>
    </w:p>
    <w:p w:rsidR="005118E0" w:rsidRPr="007D392A" w:rsidRDefault="00C0417F" w:rsidP="007D392A">
      <w:pPr>
        <w:tabs>
          <w:tab w:val="left" w:pos="2127"/>
        </w:tabs>
        <w:suppressAutoHyphens/>
        <w:ind w:left="2127"/>
      </w:pPr>
      <w:hyperlink r:id="rId18">
        <w:r w:rsidR="00FE3EBD" w:rsidRPr="007D392A">
          <w:rPr>
            <w:rStyle w:val="Lienhypertexte"/>
          </w:rPr>
          <w:t>eer-cdr@cor.europa.eu</w:t>
        </w:r>
      </w:hyperlink>
    </w:p>
    <w:p w:rsidR="00F31B2A" w:rsidRPr="007D392A" w:rsidRDefault="00F31B2A" w:rsidP="007D392A">
      <w:pPr>
        <w:jc w:val="center"/>
      </w:pPr>
      <w:r w:rsidRPr="007D392A">
        <w:t>_____________</w:t>
      </w:r>
    </w:p>
    <w:sectPr w:rsidR="00F31B2A" w:rsidRPr="007D392A" w:rsidSect="007D392A">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D7" w:rsidRPr="00530F79" w:rsidRDefault="00577FD7">
      <w:pPr>
        <w:rPr>
          <w:sz w:val="21"/>
          <w:szCs w:val="21"/>
        </w:rPr>
      </w:pPr>
      <w:r w:rsidRPr="00530F79">
        <w:rPr>
          <w:sz w:val="21"/>
          <w:szCs w:val="21"/>
        </w:rPr>
        <w:separator/>
      </w:r>
    </w:p>
  </w:endnote>
  <w:endnote w:type="continuationSeparator" w:id="0">
    <w:p w:rsidR="00577FD7" w:rsidRPr="00530F79" w:rsidRDefault="00577FD7">
      <w:pPr>
        <w:rPr>
          <w:sz w:val="21"/>
          <w:szCs w:val="21"/>
        </w:rPr>
      </w:pPr>
      <w:r w:rsidRPr="00530F79">
        <w:rPr>
          <w:sz w:val="21"/>
          <w:szCs w:val="21"/>
        </w:rPr>
        <w:continuationSeparator/>
      </w:r>
    </w:p>
  </w:endnote>
  <w:endnote w:type="continuationNotice" w:id="1">
    <w:p w:rsidR="00577FD7" w:rsidRDefault="00577FD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2A" w:rsidRPr="007D392A" w:rsidRDefault="007D392A" w:rsidP="007D392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A3" w:rsidRPr="007D392A" w:rsidRDefault="007D392A" w:rsidP="007D392A">
    <w:pPr>
      <w:pStyle w:val="Pieddepage"/>
    </w:pPr>
    <w:r>
      <w:t xml:space="preserve">COR-2017-05407-00-01-ADMIN-TRA (EN) </w:t>
    </w:r>
    <w:r w:rsidR="00C0417F">
      <w:fldChar w:fldCharType="begin"/>
    </w:r>
    <w:r>
      <w:instrText xml:space="preserve"> PAGE  \* Arabic  \* MERGEFORMAT </w:instrText>
    </w:r>
    <w:r w:rsidR="00C0417F">
      <w:fldChar w:fldCharType="separate"/>
    </w:r>
    <w:r w:rsidR="00562C55">
      <w:rPr>
        <w:noProof/>
      </w:rPr>
      <w:t>1</w:t>
    </w:r>
    <w:r w:rsidR="00C0417F">
      <w:fldChar w:fldCharType="end"/>
    </w:r>
    <w:r>
      <w:t>/</w:t>
    </w:r>
    <w:r w:rsidR="00C0417F">
      <w:fldChar w:fldCharType="begin"/>
    </w:r>
    <w:r>
      <w:instrText xml:space="preserve"> = </w:instrText>
    </w:r>
    <w:r w:rsidR="00C0417F">
      <w:fldChar w:fldCharType="begin"/>
    </w:r>
    <w:r w:rsidR="00DC30D3">
      <w:instrText xml:space="preserve"> NUMPAGES </w:instrText>
    </w:r>
    <w:r w:rsidR="00C0417F">
      <w:fldChar w:fldCharType="separate"/>
    </w:r>
    <w:r w:rsidR="00562C55">
      <w:rPr>
        <w:noProof/>
      </w:rPr>
      <w:instrText>4</w:instrText>
    </w:r>
    <w:r w:rsidR="00C0417F">
      <w:rPr>
        <w:noProof/>
      </w:rPr>
      <w:fldChar w:fldCharType="end"/>
    </w:r>
    <w:r>
      <w:instrText xml:space="preserve"> -0 </w:instrText>
    </w:r>
    <w:r w:rsidR="00C0417F">
      <w:fldChar w:fldCharType="separate"/>
    </w:r>
    <w:r w:rsidR="00562C55">
      <w:rPr>
        <w:noProof/>
      </w:rPr>
      <w:t>4</w:t>
    </w:r>
    <w:r w:rsidR="00C0417F">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2A" w:rsidRPr="007D392A" w:rsidRDefault="007D392A" w:rsidP="007D392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D7" w:rsidRPr="00530F79" w:rsidRDefault="00577FD7">
      <w:pPr>
        <w:rPr>
          <w:sz w:val="21"/>
          <w:szCs w:val="21"/>
        </w:rPr>
      </w:pPr>
      <w:r w:rsidRPr="00530F79">
        <w:rPr>
          <w:sz w:val="21"/>
          <w:szCs w:val="21"/>
        </w:rPr>
        <w:separator/>
      </w:r>
    </w:p>
  </w:footnote>
  <w:footnote w:type="continuationSeparator" w:id="0">
    <w:p w:rsidR="00577FD7" w:rsidRPr="00530F79" w:rsidRDefault="00577FD7">
      <w:pPr>
        <w:rPr>
          <w:sz w:val="21"/>
          <w:szCs w:val="21"/>
        </w:rPr>
      </w:pPr>
      <w:r w:rsidRPr="00530F79">
        <w:rPr>
          <w:sz w:val="21"/>
          <w:szCs w:val="21"/>
        </w:rPr>
        <w:continuationSeparator/>
      </w:r>
    </w:p>
  </w:footnote>
  <w:footnote w:type="continuationNotice" w:id="1">
    <w:p w:rsidR="00577FD7" w:rsidRDefault="00577FD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2A" w:rsidRPr="007D392A" w:rsidRDefault="007D392A" w:rsidP="007D392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2A" w:rsidRPr="007D392A" w:rsidRDefault="007D392A" w:rsidP="007D392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2A" w:rsidRPr="007D392A" w:rsidRDefault="007D392A" w:rsidP="007D392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DA679E8"/>
    <w:lvl w:ilvl="0">
      <w:start w:val="1"/>
      <w:numFmt w:val="decimal"/>
      <w:pStyle w:val="Titre1"/>
      <w:lvlText w:val="%1."/>
      <w:legacy w:legacy="1" w:legacySpace="0"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nsid w:val="00000002"/>
    <w:multiLevelType w:val="singleLevel"/>
    <w:tmpl w:val="00000002"/>
    <w:name w:val="WW8Num2"/>
    <w:lvl w:ilvl="0">
      <w:start w:val="3"/>
      <w:numFmt w:val="bullet"/>
      <w:lvlText w:val="-"/>
      <w:lvlJc w:val="left"/>
      <w:pPr>
        <w:tabs>
          <w:tab w:val="num" w:pos="1800"/>
        </w:tabs>
        <w:ind w:left="1800" w:hanging="360"/>
      </w:pPr>
      <w:rPr>
        <w:rFonts w:ascii="Times New Roman" w:hAnsi="Times New Roman"/>
        <w:b/>
      </w:rPr>
    </w:lvl>
  </w:abstractNum>
  <w:abstractNum w:abstractNumId="2">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DF29BB"/>
    <w:multiLevelType w:val="hybridMultilevel"/>
    <w:tmpl w:val="29727486"/>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027FED"/>
    <w:multiLevelType w:val="hybridMultilevel"/>
    <w:tmpl w:val="08D664AC"/>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83316E"/>
    <w:multiLevelType w:val="hybridMultilevel"/>
    <w:tmpl w:val="0BFAF9CA"/>
    <w:lvl w:ilvl="0" w:tplc="080C0005">
      <w:start w:val="1"/>
      <w:numFmt w:val="bullet"/>
      <w:lvlText w:val=""/>
      <w:lvlJc w:val="left"/>
      <w:pPr>
        <w:tabs>
          <w:tab w:val="num" w:pos="0"/>
        </w:tabs>
        <w:ind w:left="369" w:hanging="369"/>
      </w:pPr>
      <w:rPr>
        <w:rFonts w:ascii="Wingdings" w:hAnsi="Wingding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86C4FBF"/>
    <w:multiLevelType w:val="hybridMultilevel"/>
    <w:tmpl w:val="9F364B66"/>
    <w:lvl w:ilvl="0" w:tplc="080C0005">
      <w:start w:val="1"/>
      <w:numFmt w:val="bullet"/>
      <w:lvlText w:val=""/>
      <w:lvlJc w:val="left"/>
      <w:pPr>
        <w:tabs>
          <w:tab w:val="num" w:pos="0"/>
        </w:tabs>
        <w:ind w:left="369" w:hanging="369"/>
      </w:pPr>
      <w:rPr>
        <w:rFonts w:ascii="Wingdings" w:hAnsi="Wingdings"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E67311F"/>
    <w:multiLevelType w:val="hybridMultilevel"/>
    <w:tmpl w:val="662065C0"/>
    <w:lvl w:ilvl="0" w:tplc="080C0005">
      <w:start w:val="1"/>
      <w:numFmt w:val="bullet"/>
      <w:lvlText w:val=""/>
      <w:lvlJc w:val="left"/>
      <w:pPr>
        <w:ind w:left="720" w:hanging="360"/>
      </w:pPr>
      <w:rPr>
        <w:rFonts w:ascii="Wingdings" w:hAnsi="Wingdings" w:hint="default"/>
        <w:b/>
      </w:rPr>
    </w:lvl>
    <w:lvl w:ilvl="1" w:tplc="00000002">
      <w:start w:val="3"/>
      <w:numFmt w:val="bullet"/>
      <w:lvlText w:val="-"/>
      <w:lvlJc w:val="left"/>
      <w:pPr>
        <w:ind w:left="1440" w:hanging="360"/>
      </w:pPr>
      <w:rPr>
        <w:rFonts w:ascii="Times New Roman" w:hAnsi="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3125B3"/>
    <w:multiLevelType w:val="hybridMultilevel"/>
    <w:tmpl w:val="E2601DAC"/>
    <w:lvl w:ilvl="0" w:tplc="080C0005">
      <w:start w:val="1"/>
      <w:numFmt w:val="bullet"/>
      <w:lvlText w:val=""/>
      <w:lvlJc w:val="left"/>
      <w:pPr>
        <w:ind w:left="720" w:hanging="360"/>
      </w:pPr>
      <w:rPr>
        <w:rFonts w:ascii="Wingdings" w:hAnsi="Wingdings" w:hint="default"/>
        <w:b/>
      </w:rPr>
    </w:lvl>
    <w:lvl w:ilvl="1" w:tplc="00000002">
      <w:start w:val="3"/>
      <w:numFmt w:val="bullet"/>
      <w:lvlText w:val="-"/>
      <w:lvlJc w:val="left"/>
      <w:pPr>
        <w:ind w:left="1440" w:hanging="360"/>
      </w:pPr>
      <w:rPr>
        <w:rFonts w:ascii="Times New Roman" w:hAnsi="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AE7A9B"/>
    <w:multiLevelType w:val="hybridMultilevel"/>
    <w:tmpl w:val="D96460FE"/>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AF22E5"/>
    <w:multiLevelType w:val="hybridMultilevel"/>
    <w:tmpl w:val="B07C0C94"/>
    <w:lvl w:ilvl="0" w:tplc="080C0005">
      <w:start w:val="1"/>
      <w:numFmt w:val="bullet"/>
      <w:lvlText w:val=""/>
      <w:lvlJc w:val="left"/>
      <w:pPr>
        <w:ind w:left="720" w:hanging="360"/>
      </w:pPr>
      <w:rPr>
        <w:rFonts w:ascii="Wingdings" w:hAnsi="Wingdings" w:hint="default"/>
        <w:b/>
      </w:rPr>
    </w:lvl>
    <w:lvl w:ilvl="1" w:tplc="00000002">
      <w:start w:val="3"/>
      <w:numFmt w:val="bullet"/>
      <w:lvlText w:val="-"/>
      <w:lvlJc w:val="left"/>
      <w:pPr>
        <w:ind w:left="1440" w:hanging="360"/>
      </w:pPr>
      <w:rPr>
        <w:rFonts w:ascii="Times New Roman" w:hAnsi="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985BB6"/>
    <w:multiLevelType w:val="hybridMultilevel"/>
    <w:tmpl w:val="4ABEAC6C"/>
    <w:lvl w:ilvl="0" w:tplc="080C0005">
      <w:start w:val="1"/>
      <w:numFmt w:val="bullet"/>
      <w:lvlText w:val=""/>
      <w:lvlJc w:val="left"/>
      <w:pPr>
        <w:tabs>
          <w:tab w:val="num" w:pos="0"/>
        </w:tabs>
        <w:ind w:left="369" w:hanging="369"/>
      </w:pPr>
      <w:rPr>
        <w:rFonts w:ascii="Wingdings" w:hAnsi="Wingdings"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7480DFE"/>
    <w:multiLevelType w:val="hybridMultilevel"/>
    <w:tmpl w:val="DE54F7A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7EB1D08"/>
    <w:multiLevelType w:val="hybridMultilevel"/>
    <w:tmpl w:val="F13E83F0"/>
    <w:lvl w:ilvl="0" w:tplc="C22A545C">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B671724"/>
    <w:multiLevelType w:val="hybridMultilevel"/>
    <w:tmpl w:val="D5BE6BA2"/>
    <w:lvl w:ilvl="0" w:tplc="2A34915A">
      <w:start w:val="1"/>
      <w:numFmt w:val="bullet"/>
      <w:lvlText w:val=""/>
      <w:lvlJc w:val="left"/>
      <w:pPr>
        <w:tabs>
          <w:tab w:val="num" w:pos="360"/>
        </w:tabs>
        <w:ind w:left="751" w:hanging="391"/>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6E3E7CB5"/>
    <w:multiLevelType w:val="hybridMultilevel"/>
    <w:tmpl w:val="A2CA9FF0"/>
    <w:lvl w:ilvl="0" w:tplc="CB82E988">
      <w:start w:val="6"/>
      <w:numFmt w:val="decimal"/>
      <w:lvlText w:val="%1)"/>
      <w:lvlJc w:val="left"/>
      <w:pPr>
        <w:tabs>
          <w:tab w:val="num" w:pos="720"/>
        </w:tabs>
        <w:ind w:left="720" w:hanging="360"/>
      </w:pPr>
      <w:rPr>
        <w:i/>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743B4E98"/>
    <w:multiLevelType w:val="hybridMultilevel"/>
    <w:tmpl w:val="D0B8B90C"/>
    <w:lvl w:ilvl="0" w:tplc="080C0005">
      <w:start w:val="1"/>
      <w:numFmt w:val="bullet"/>
      <w:lvlText w:val=""/>
      <w:lvlJc w:val="left"/>
      <w:pPr>
        <w:tabs>
          <w:tab w:val="num" w:pos="0"/>
        </w:tabs>
        <w:ind w:left="369" w:hanging="369"/>
      </w:pPr>
      <w:rPr>
        <w:rFonts w:ascii="Wingdings" w:hAnsi="Wingdings"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6A20079"/>
    <w:multiLevelType w:val="hybridMultilevel"/>
    <w:tmpl w:val="9DAA2AA6"/>
    <w:lvl w:ilvl="0" w:tplc="080C0005">
      <w:start w:val="1"/>
      <w:numFmt w:val="bullet"/>
      <w:lvlText w:val=""/>
      <w:lvlJc w:val="left"/>
      <w:pPr>
        <w:ind w:left="720" w:hanging="360"/>
      </w:pPr>
      <w:rPr>
        <w:rFonts w:ascii="Wingdings" w:hAnsi="Wingdings" w:hint="default"/>
        <w:b/>
      </w:rPr>
    </w:lvl>
    <w:lvl w:ilvl="1" w:tplc="00000002">
      <w:start w:val="3"/>
      <w:numFmt w:val="bullet"/>
      <w:lvlText w:val="-"/>
      <w:lvlJc w:val="left"/>
      <w:pPr>
        <w:ind w:left="1440" w:hanging="360"/>
      </w:pPr>
      <w:rPr>
        <w:rFonts w:ascii="Times New Roman" w:hAnsi="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E6732D"/>
    <w:multiLevelType w:val="hybridMultilevel"/>
    <w:tmpl w:val="A6660336"/>
    <w:lvl w:ilvl="0" w:tplc="8CBA21EE">
      <w:start w:val="1"/>
      <w:numFmt w:val="bullet"/>
      <w:lvlRestart w:val="0"/>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B3C7DA1"/>
    <w:multiLevelType w:val="hybridMultilevel"/>
    <w:tmpl w:val="ACA6037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7C616879"/>
    <w:multiLevelType w:val="hybridMultilevel"/>
    <w:tmpl w:val="702A670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3"/>
  </w:num>
  <w:num w:numId="10">
    <w:abstractNumId w:val="9"/>
  </w:num>
  <w:num w:numId="11">
    <w:abstractNumId w:val="6"/>
  </w:num>
  <w:num w:numId="12">
    <w:abstractNumId w:val="18"/>
  </w:num>
  <w:num w:numId="13">
    <w:abstractNumId w:val="12"/>
  </w:num>
  <w:num w:numId="14">
    <w:abstractNumId w:val="19"/>
  </w:num>
  <w:num w:numId="15">
    <w:abstractNumId w:val="4"/>
  </w:num>
  <w:num w:numId="16">
    <w:abstractNumId w:val="16"/>
  </w:num>
  <w:num w:numId="17">
    <w:abstractNumId w:val="5"/>
  </w:num>
  <w:num w:numId="18">
    <w:abstractNumId w:val="17"/>
  </w:num>
  <w:num w:numId="19">
    <w:abstractNumId w:val="3"/>
  </w:num>
  <w:num w:numId="20">
    <w:abstractNumId w:val="10"/>
  </w:num>
  <w:num w:numId="21">
    <w:abstractNumId w:val="7"/>
  </w:num>
  <w:num w:numId="22">
    <w:abstractNumId w:val="8"/>
  </w:num>
  <w:num w:numId="23">
    <w:abstractNumId w:val="1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801"/>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11266"/>
  </w:hdrShapeDefaults>
  <w:footnotePr>
    <w:footnote w:id="-1"/>
    <w:footnote w:id="0"/>
    <w:footnote w:id="1"/>
  </w:footnotePr>
  <w:endnotePr>
    <w:endnote w:id="-1"/>
    <w:endnote w:id="0"/>
    <w:endnote w:id="1"/>
  </w:endnotePr>
  <w:compat>
    <w:doNotExpandShiftReturn/>
    <w:useFELayout/>
  </w:compat>
  <w:rsids>
    <w:rsidRoot w:val="00D56B68"/>
    <w:rsid w:val="00024E06"/>
    <w:rsid w:val="000427E6"/>
    <w:rsid w:val="000439F0"/>
    <w:rsid w:val="00060550"/>
    <w:rsid w:val="00060914"/>
    <w:rsid w:val="0006629B"/>
    <w:rsid w:val="0008099C"/>
    <w:rsid w:val="000B1EFE"/>
    <w:rsid w:val="000B273F"/>
    <w:rsid w:val="000B665C"/>
    <w:rsid w:val="000C3DFF"/>
    <w:rsid w:val="000C52F7"/>
    <w:rsid w:val="000D08A9"/>
    <w:rsid w:val="000D2CC8"/>
    <w:rsid w:val="000F7745"/>
    <w:rsid w:val="0011559A"/>
    <w:rsid w:val="00142CE2"/>
    <w:rsid w:val="00147C91"/>
    <w:rsid w:val="00184B0B"/>
    <w:rsid w:val="00190DF6"/>
    <w:rsid w:val="001A0AA5"/>
    <w:rsid w:val="001A5868"/>
    <w:rsid w:val="001A5AA3"/>
    <w:rsid w:val="001C4FFF"/>
    <w:rsid w:val="001E20B2"/>
    <w:rsid w:val="001F53BC"/>
    <w:rsid w:val="002713D5"/>
    <w:rsid w:val="002E63BE"/>
    <w:rsid w:val="002F5F63"/>
    <w:rsid w:val="002F6DCF"/>
    <w:rsid w:val="00355D04"/>
    <w:rsid w:val="003867F4"/>
    <w:rsid w:val="0039385F"/>
    <w:rsid w:val="003B4416"/>
    <w:rsid w:val="003C26BF"/>
    <w:rsid w:val="003D401D"/>
    <w:rsid w:val="003D64F8"/>
    <w:rsid w:val="003E27A4"/>
    <w:rsid w:val="003F5D20"/>
    <w:rsid w:val="00403ED7"/>
    <w:rsid w:val="00416846"/>
    <w:rsid w:val="00425CE6"/>
    <w:rsid w:val="00442D4F"/>
    <w:rsid w:val="0047494B"/>
    <w:rsid w:val="004C4E2A"/>
    <w:rsid w:val="004D1562"/>
    <w:rsid w:val="004E0818"/>
    <w:rsid w:val="004F600D"/>
    <w:rsid w:val="00502AF0"/>
    <w:rsid w:val="005118E0"/>
    <w:rsid w:val="00530F79"/>
    <w:rsid w:val="00532B6F"/>
    <w:rsid w:val="0053333E"/>
    <w:rsid w:val="00550FE9"/>
    <w:rsid w:val="0056035C"/>
    <w:rsid w:val="00562388"/>
    <w:rsid w:val="00562C55"/>
    <w:rsid w:val="005664B3"/>
    <w:rsid w:val="005742B1"/>
    <w:rsid w:val="00577FD7"/>
    <w:rsid w:val="005C02A0"/>
    <w:rsid w:val="005D1117"/>
    <w:rsid w:val="005E3C13"/>
    <w:rsid w:val="005E42A7"/>
    <w:rsid w:val="006005CA"/>
    <w:rsid w:val="00622FC4"/>
    <w:rsid w:val="006600D4"/>
    <w:rsid w:val="00682068"/>
    <w:rsid w:val="00690B0B"/>
    <w:rsid w:val="006A2C9F"/>
    <w:rsid w:val="006A34BE"/>
    <w:rsid w:val="006B6A4F"/>
    <w:rsid w:val="006D40BA"/>
    <w:rsid w:val="006E76CE"/>
    <w:rsid w:val="006F74DC"/>
    <w:rsid w:val="007258E7"/>
    <w:rsid w:val="0072625D"/>
    <w:rsid w:val="00745060"/>
    <w:rsid w:val="00747A35"/>
    <w:rsid w:val="00763754"/>
    <w:rsid w:val="007740F3"/>
    <w:rsid w:val="0079060C"/>
    <w:rsid w:val="00794AFC"/>
    <w:rsid w:val="007B23FB"/>
    <w:rsid w:val="007C434A"/>
    <w:rsid w:val="007D392A"/>
    <w:rsid w:val="007E48BA"/>
    <w:rsid w:val="007E7AE0"/>
    <w:rsid w:val="00800266"/>
    <w:rsid w:val="00802A44"/>
    <w:rsid w:val="008314F8"/>
    <w:rsid w:val="00844AA3"/>
    <w:rsid w:val="0086782C"/>
    <w:rsid w:val="008A5C85"/>
    <w:rsid w:val="008B7AB9"/>
    <w:rsid w:val="008C1AAB"/>
    <w:rsid w:val="008D0833"/>
    <w:rsid w:val="008D315C"/>
    <w:rsid w:val="008D5E43"/>
    <w:rsid w:val="008E57E2"/>
    <w:rsid w:val="008F24A7"/>
    <w:rsid w:val="009052D2"/>
    <w:rsid w:val="009164DB"/>
    <w:rsid w:val="00924A7A"/>
    <w:rsid w:val="00926642"/>
    <w:rsid w:val="00933D9B"/>
    <w:rsid w:val="00934423"/>
    <w:rsid w:val="009443CB"/>
    <w:rsid w:val="00955317"/>
    <w:rsid w:val="00973D11"/>
    <w:rsid w:val="00982305"/>
    <w:rsid w:val="009B2992"/>
    <w:rsid w:val="00A03A95"/>
    <w:rsid w:val="00A16357"/>
    <w:rsid w:val="00A16E36"/>
    <w:rsid w:val="00A476C5"/>
    <w:rsid w:val="00A545FA"/>
    <w:rsid w:val="00A57992"/>
    <w:rsid w:val="00A725C0"/>
    <w:rsid w:val="00AD2A80"/>
    <w:rsid w:val="00AE045E"/>
    <w:rsid w:val="00AE069E"/>
    <w:rsid w:val="00AE0855"/>
    <w:rsid w:val="00AE72E1"/>
    <w:rsid w:val="00AF6445"/>
    <w:rsid w:val="00B011DB"/>
    <w:rsid w:val="00B01908"/>
    <w:rsid w:val="00B07411"/>
    <w:rsid w:val="00B07D88"/>
    <w:rsid w:val="00B22BAE"/>
    <w:rsid w:val="00B85798"/>
    <w:rsid w:val="00B9366E"/>
    <w:rsid w:val="00BA7C05"/>
    <w:rsid w:val="00BD1733"/>
    <w:rsid w:val="00BF7D6F"/>
    <w:rsid w:val="00C0417F"/>
    <w:rsid w:val="00C12E76"/>
    <w:rsid w:val="00C245F8"/>
    <w:rsid w:val="00C33AD4"/>
    <w:rsid w:val="00C72082"/>
    <w:rsid w:val="00C8582F"/>
    <w:rsid w:val="00C96BEC"/>
    <w:rsid w:val="00CD2877"/>
    <w:rsid w:val="00CF0CB2"/>
    <w:rsid w:val="00D022CA"/>
    <w:rsid w:val="00D07992"/>
    <w:rsid w:val="00D30A3B"/>
    <w:rsid w:val="00D3383D"/>
    <w:rsid w:val="00D42E22"/>
    <w:rsid w:val="00D46A56"/>
    <w:rsid w:val="00D51FA0"/>
    <w:rsid w:val="00D54DAE"/>
    <w:rsid w:val="00D56B68"/>
    <w:rsid w:val="00D73CAF"/>
    <w:rsid w:val="00D822C9"/>
    <w:rsid w:val="00D86C21"/>
    <w:rsid w:val="00D9169E"/>
    <w:rsid w:val="00DC29BB"/>
    <w:rsid w:val="00DC30D3"/>
    <w:rsid w:val="00DC78EB"/>
    <w:rsid w:val="00DD68A7"/>
    <w:rsid w:val="00DF2E74"/>
    <w:rsid w:val="00DF40C0"/>
    <w:rsid w:val="00E04C37"/>
    <w:rsid w:val="00E053C0"/>
    <w:rsid w:val="00E061C5"/>
    <w:rsid w:val="00E17D9D"/>
    <w:rsid w:val="00E31202"/>
    <w:rsid w:val="00E56219"/>
    <w:rsid w:val="00E66101"/>
    <w:rsid w:val="00E77BD2"/>
    <w:rsid w:val="00EA4DF1"/>
    <w:rsid w:val="00EF26AD"/>
    <w:rsid w:val="00EF6742"/>
    <w:rsid w:val="00F23B39"/>
    <w:rsid w:val="00F25276"/>
    <w:rsid w:val="00F274CF"/>
    <w:rsid w:val="00F31B2A"/>
    <w:rsid w:val="00F357DB"/>
    <w:rsid w:val="00F36A30"/>
    <w:rsid w:val="00F458C1"/>
    <w:rsid w:val="00F87C00"/>
    <w:rsid w:val="00FA4420"/>
    <w:rsid w:val="00FD07DA"/>
    <w:rsid w:val="00FD332F"/>
    <w:rsid w:val="00FD3AE5"/>
    <w:rsid w:val="00FD61C5"/>
    <w:rsid w:val="00FD66CB"/>
    <w:rsid w:val="00FE21DE"/>
    <w:rsid w:val="00FE3EBD"/>
    <w:rsid w:val="00FF0E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BA"/>
    <w:pPr>
      <w:spacing w:line="288" w:lineRule="auto"/>
      <w:jc w:val="both"/>
    </w:pPr>
    <w:rPr>
      <w:rFonts w:eastAsia="Times New Roman"/>
      <w:sz w:val="22"/>
      <w:szCs w:val="22"/>
    </w:rPr>
  </w:style>
  <w:style w:type="paragraph" w:styleId="Titre1">
    <w:name w:val="heading 1"/>
    <w:basedOn w:val="Normal"/>
    <w:next w:val="Normal"/>
    <w:qFormat/>
    <w:rsid w:val="006D40BA"/>
    <w:pPr>
      <w:numPr>
        <w:numId w:val="1"/>
      </w:numPr>
      <w:ind w:left="720" w:hanging="720"/>
      <w:outlineLvl w:val="0"/>
    </w:pPr>
    <w:rPr>
      <w:kern w:val="28"/>
    </w:rPr>
  </w:style>
  <w:style w:type="paragraph" w:styleId="Titre2">
    <w:name w:val="heading 2"/>
    <w:basedOn w:val="Normal"/>
    <w:next w:val="Normal"/>
    <w:qFormat/>
    <w:rsid w:val="006D40BA"/>
    <w:pPr>
      <w:numPr>
        <w:ilvl w:val="1"/>
        <w:numId w:val="1"/>
      </w:numPr>
      <w:ind w:left="720" w:hanging="720"/>
      <w:outlineLvl w:val="1"/>
    </w:pPr>
  </w:style>
  <w:style w:type="paragraph" w:styleId="Titre3">
    <w:name w:val="heading 3"/>
    <w:basedOn w:val="Normal"/>
    <w:next w:val="Normal"/>
    <w:qFormat/>
    <w:rsid w:val="006D40BA"/>
    <w:pPr>
      <w:numPr>
        <w:ilvl w:val="2"/>
        <w:numId w:val="1"/>
      </w:numPr>
      <w:ind w:left="720" w:hanging="720"/>
      <w:outlineLvl w:val="2"/>
    </w:pPr>
  </w:style>
  <w:style w:type="paragraph" w:styleId="Titre4">
    <w:name w:val="heading 4"/>
    <w:basedOn w:val="Normal"/>
    <w:next w:val="Normal"/>
    <w:qFormat/>
    <w:rsid w:val="006D40BA"/>
    <w:pPr>
      <w:numPr>
        <w:ilvl w:val="3"/>
        <w:numId w:val="1"/>
      </w:numPr>
      <w:ind w:left="720" w:hanging="720"/>
      <w:outlineLvl w:val="3"/>
    </w:pPr>
  </w:style>
  <w:style w:type="paragraph" w:styleId="Titre5">
    <w:name w:val="heading 5"/>
    <w:basedOn w:val="Normal"/>
    <w:next w:val="Normal"/>
    <w:qFormat/>
    <w:rsid w:val="006D40BA"/>
    <w:pPr>
      <w:numPr>
        <w:ilvl w:val="4"/>
        <w:numId w:val="1"/>
      </w:numPr>
      <w:ind w:left="720" w:hanging="720"/>
      <w:outlineLvl w:val="4"/>
    </w:pPr>
  </w:style>
  <w:style w:type="paragraph" w:styleId="Titre6">
    <w:name w:val="heading 6"/>
    <w:basedOn w:val="Normal"/>
    <w:next w:val="Normal"/>
    <w:qFormat/>
    <w:rsid w:val="006D40BA"/>
    <w:pPr>
      <w:numPr>
        <w:ilvl w:val="5"/>
        <w:numId w:val="1"/>
      </w:numPr>
      <w:ind w:left="720" w:hanging="720"/>
      <w:outlineLvl w:val="5"/>
    </w:pPr>
  </w:style>
  <w:style w:type="paragraph" w:styleId="Titre7">
    <w:name w:val="heading 7"/>
    <w:basedOn w:val="Normal"/>
    <w:next w:val="Normal"/>
    <w:qFormat/>
    <w:rsid w:val="006D40BA"/>
    <w:pPr>
      <w:numPr>
        <w:ilvl w:val="6"/>
        <w:numId w:val="1"/>
      </w:numPr>
      <w:ind w:left="720" w:hanging="720"/>
      <w:outlineLvl w:val="6"/>
    </w:pPr>
  </w:style>
  <w:style w:type="paragraph" w:styleId="Titre8">
    <w:name w:val="heading 8"/>
    <w:basedOn w:val="Normal"/>
    <w:next w:val="Normal"/>
    <w:qFormat/>
    <w:rsid w:val="006D40BA"/>
    <w:pPr>
      <w:numPr>
        <w:ilvl w:val="7"/>
        <w:numId w:val="1"/>
      </w:numPr>
      <w:ind w:left="720" w:hanging="720"/>
      <w:outlineLvl w:val="7"/>
    </w:pPr>
  </w:style>
  <w:style w:type="paragraph" w:styleId="Titre9">
    <w:name w:val="heading 9"/>
    <w:basedOn w:val="Normal"/>
    <w:next w:val="Normal"/>
    <w:qFormat/>
    <w:rsid w:val="006D40BA"/>
    <w:pPr>
      <w:numPr>
        <w:ilvl w:val="8"/>
        <w:numId w:val="1"/>
      </w:numPr>
      <w:ind w:left="720" w:hanging="72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C0417F"/>
    <w:rPr>
      <w:color w:val="0000FF"/>
      <w:u w:val="single"/>
    </w:rPr>
  </w:style>
  <w:style w:type="character" w:styleId="Lienhypertextesuivivisit">
    <w:name w:val="FollowedHyperlink"/>
    <w:rsid w:val="00C0417F"/>
    <w:rPr>
      <w:color w:val="606420"/>
      <w:u w:val="single"/>
    </w:rPr>
  </w:style>
  <w:style w:type="paragraph" w:styleId="Notedebasdepage">
    <w:name w:val="footnote text"/>
    <w:basedOn w:val="Normal"/>
    <w:qFormat/>
    <w:rsid w:val="006D40BA"/>
    <w:pPr>
      <w:keepLines/>
      <w:spacing w:after="60" w:line="240" w:lineRule="auto"/>
      <w:ind w:left="720" w:hanging="720"/>
    </w:pPr>
    <w:rPr>
      <w:sz w:val="16"/>
    </w:rPr>
  </w:style>
  <w:style w:type="paragraph" w:styleId="En-tte">
    <w:name w:val="header"/>
    <w:basedOn w:val="Normal"/>
    <w:qFormat/>
    <w:rsid w:val="006D40BA"/>
  </w:style>
  <w:style w:type="paragraph" w:styleId="Pieddepage">
    <w:name w:val="footer"/>
    <w:basedOn w:val="Normal"/>
    <w:qFormat/>
    <w:rsid w:val="006D40BA"/>
  </w:style>
  <w:style w:type="paragraph" w:customStyle="1" w:styleId="quotes">
    <w:name w:val="quotes"/>
    <w:basedOn w:val="Normal"/>
    <w:next w:val="Normal"/>
    <w:rsid w:val="006D40BA"/>
    <w:pPr>
      <w:ind w:left="720"/>
    </w:pPr>
    <w:rPr>
      <w:i/>
    </w:rPr>
  </w:style>
  <w:style w:type="character" w:styleId="Appelnotedebasdep">
    <w:name w:val="footnote reference"/>
    <w:basedOn w:val="Policepardfaut"/>
    <w:unhideWhenUsed/>
    <w:qFormat/>
    <w:rsid w:val="006D40BA"/>
    <w:rPr>
      <w:sz w:val="24"/>
      <w:vertAlign w:val="superscript"/>
    </w:rPr>
  </w:style>
  <w:style w:type="paragraph" w:styleId="Paragraphedeliste">
    <w:name w:val="List Paragraph"/>
    <w:basedOn w:val="Normal"/>
    <w:uiPriority w:val="34"/>
    <w:qFormat/>
    <w:rsid w:val="006D40BA"/>
    <w:pPr>
      <w:ind w:left="720"/>
      <w:contextualSpacing/>
    </w:pPr>
  </w:style>
  <w:style w:type="paragraph" w:styleId="Rvision">
    <w:name w:val="Revision"/>
    <w:hidden/>
    <w:uiPriority w:val="99"/>
    <w:semiHidden/>
    <w:rsid w:val="0056035C"/>
    <w:rPr>
      <w:rFonts w:eastAsia="Times New Roman"/>
      <w:sz w:val="22"/>
    </w:rPr>
  </w:style>
  <w:style w:type="table" w:styleId="Grilledutableau">
    <w:name w:val="Table Grid"/>
    <w:basedOn w:val="TableauNormal"/>
    <w:rsid w:val="006F7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F6742"/>
    <w:pPr>
      <w:spacing w:before="100" w:beforeAutospacing="1" w:after="100" w:afterAutospacing="1" w:line="240" w:lineRule="auto"/>
      <w:jc w:val="left"/>
    </w:pPr>
    <w:rPr>
      <w:sz w:val="24"/>
      <w:szCs w:val="24"/>
    </w:rPr>
  </w:style>
  <w:style w:type="paragraph" w:styleId="Textedebulles">
    <w:name w:val="Balloon Text"/>
    <w:basedOn w:val="Normal"/>
    <w:link w:val="TextedebullesCar"/>
    <w:rsid w:val="00AE72E1"/>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E72E1"/>
    <w:rPr>
      <w:rFonts w:ascii="Tahoma" w:eastAsia="Times New Roman" w:hAnsi="Tahoma" w:cs="Tahoma"/>
      <w:sz w:val="16"/>
      <w:szCs w:val="16"/>
      <w:lang w:val="fr-FR" w:eastAsia="fr-FR"/>
    </w:rPr>
  </w:style>
  <w:style w:type="character" w:styleId="Accentuation">
    <w:name w:val="Emphasis"/>
    <w:basedOn w:val="Policepardfaut"/>
    <w:uiPriority w:val="20"/>
    <w:qFormat/>
    <w:rsid w:val="00FD332F"/>
    <w:rPr>
      <w:b/>
      <w:bCs/>
      <w:i w:val="0"/>
      <w:iCs w:val="0"/>
    </w:rPr>
  </w:style>
  <w:style w:type="character" w:customStyle="1" w:styleId="st1">
    <w:name w:val="st1"/>
    <w:basedOn w:val="Policepardfaut"/>
    <w:rsid w:val="00FD3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BA"/>
    <w:pPr>
      <w:spacing w:line="288" w:lineRule="auto"/>
      <w:jc w:val="both"/>
    </w:pPr>
    <w:rPr>
      <w:rFonts w:eastAsia="Times New Roman"/>
      <w:sz w:val="22"/>
      <w:szCs w:val="22"/>
    </w:rPr>
  </w:style>
  <w:style w:type="paragraph" w:styleId="Heading1">
    <w:name w:val="heading 1"/>
    <w:basedOn w:val="Normal"/>
    <w:next w:val="Normal"/>
    <w:qFormat/>
    <w:rsid w:val="006D40BA"/>
    <w:pPr>
      <w:numPr>
        <w:numId w:val="1"/>
      </w:numPr>
      <w:ind w:left="720" w:hanging="720"/>
      <w:outlineLvl w:val="0"/>
    </w:pPr>
    <w:rPr>
      <w:kern w:val="28"/>
    </w:rPr>
  </w:style>
  <w:style w:type="paragraph" w:styleId="Heading2">
    <w:name w:val="heading 2"/>
    <w:basedOn w:val="Normal"/>
    <w:next w:val="Normal"/>
    <w:qFormat/>
    <w:rsid w:val="006D40BA"/>
    <w:pPr>
      <w:numPr>
        <w:ilvl w:val="1"/>
        <w:numId w:val="1"/>
      </w:numPr>
      <w:ind w:left="720" w:hanging="720"/>
      <w:outlineLvl w:val="1"/>
    </w:pPr>
  </w:style>
  <w:style w:type="paragraph" w:styleId="Heading3">
    <w:name w:val="heading 3"/>
    <w:basedOn w:val="Normal"/>
    <w:next w:val="Normal"/>
    <w:qFormat/>
    <w:rsid w:val="006D40BA"/>
    <w:pPr>
      <w:numPr>
        <w:ilvl w:val="2"/>
        <w:numId w:val="1"/>
      </w:numPr>
      <w:ind w:left="720" w:hanging="720"/>
      <w:outlineLvl w:val="2"/>
    </w:pPr>
  </w:style>
  <w:style w:type="paragraph" w:styleId="Heading4">
    <w:name w:val="heading 4"/>
    <w:basedOn w:val="Normal"/>
    <w:next w:val="Normal"/>
    <w:qFormat/>
    <w:rsid w:val="006D40BA"/>
    <w:pPr>
      <w:numPr>
        <w:ilvl w:val="3"/>
        <w:numId w:val="1"/>
      </w:numPr>
      <w:ind w:left="720" w:hanging="720"/>
      <w:outlineLvl w:val="3"/>
    </w:pPr>
  </w:style>
  <w:style w:type="paragraph" w:styleId="Heading5">
    <w:name w:val="heading 5"/>
    <w:basedOn w:val="Normal"/>
    <w:next w:val="Normal"/>
    <w:qFormat/>
    <w:rsid w:val="006D40BA"/>
    <w:pPr>
      <w:numPr>
        <w:ilvl w:val="4"/>
        <w:numId w:val="1"/>
      </w:numPr>
      <w:ind w:left="720" w:hanging="720"/>
      <w:outlineLvl w:val="4"/>
    </w:pPr>
  </w:style>
  <w:style w:type="paragraph" w:styleId="Heading6">
    <w:name w:val="heading 6"/>
    <w:basedOn w:val="Normal"/>
    <w:next w:val="Normal"/>
    <w:qFormat/>
    <w:rsid w:val="006D40BA"/>
    <w:pPr>
      <w:numPr>
        <w:ilvl w:val="5"/>
        <w:numId w:val="1"/>
      </w:numPr>
      <w:ind w:left="720" w:hanging="720"/>
      <w:outlineLvl w:val="5"/>
    </w:pPr>
  </w:style>
  <w:style w:type="paragraph" w:styleId="Heading7">
    <w:name w:val="heading 7"/>
    <w:basedOn w:val="Normal"/>
    <w:next w:val="Normal"/>
    <w:qFormat/>
    <w:rsid w:val="006D40BA"/>
    <w:pPr>
      <w:numPr>
        <w:ilvl w:val="6"/>
        <w:numId w:val="1"/>
      </w:numPr>
      <w:ind w:left="720" w:hanging="720"/>
      <w:outlineLvl w:val="6"/>
    </w:pPr>
  </w:style>
  <w:style w:type="paragraph" w:styleId="Heading8">
    <w:name w:val="heading 8"/>
    <w:basedOn w:val="Normal"/>
    <w:next w:val="Normal"/>
    <w:qFormat/>
    <w:rsid w:val="006D40BA"/>
    <w:pPr>
      <w:numPr>
        <w:ilvl w:val="7"/>
        <w:numId w:val="1"/>
      </w:numPr>
      <w:ind w:left="720" w:hanging="720"/>
      <w:outlineLvl w:val="7"/>
    </w:pPr>
  </w:style>
  <w:style w:type="paragraph" w:styleId="Heading9">
    <w:name w:val="heading 9"/>
    <w:basedOn w:val="Normal"/>
    <w:next w:val="Normal"/>
    <w:qFormat/>
    <w:rsid w:val="006D40BA"/>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FootnoteText">
    <w:name w:val="footnote text"/>
    <w:basedOn w:val="Normal"/>
    <w:qFormat/>
    <w:rsid w:val="006D40BA"/>
    <w:pPr>
      <w:keepLines/>
      <w:spacing w:after="60" w:line="240" w:lineRule="auto"/>
      <w:ind w:left="720" w:hanging="720"/>
    </w:pPr>
    <w:rPr>
      <w:sz w:val="16"/>
    </w:rPr>
  </w:style>
  <w:style w:type="paragraph" w:styleId="Header">
    <w:name w:val="header"/>
    <w:basedOn w:val="Normal"/>
    <w:qFormat/>
    <w:rsid w:val="006D40BA"/>
  </w:style>
  <w:style w:type="paragraph" w:styleId="Footer">
    <w:name w:val="footer"/>
    <w:basedOn w:val="Normal"/>
    <w:qFormat/>
    <w:rsid w:val="006D40BA"/>
  </w:style>
  <w:style w:type="paragraph" w:customStyle="1" w:styleId="quotes">
    <w:name w:val="quotes"/>
    <w:basedOn w:val="Normal"/>
    <w:next w:val="Normal"/>
    <w:rsid w:val="006D40BA"/>
    <w:pPr>
      <w:ind w:left="720"/>
    </w:pPr>
    <w:rPr>
      <w:i/>
    </w:rPr>
  </w:style>
  <w:style w:type="character" w:styleId="FootnoteReference">
    <w:name w:val="footnote reference"/>
    <w:basedOn w:val="DefaultParagraphFont"/>
    <w:unhideWhenUsed/>
    <w:qFormat/>
    <w:rsid w:val="006D40BA"/>
    <w:rPr>
      <w:sz w:val="24"/>
      <w:vertAlign w:val="superscript"/>
    </w:rPr>
  </w:style>
  <w:style w:type="paragraph" w:styleId="ListParagraph">
    <w:name w:val="List Paragraph"/>
    <w:basedOn w:val="Normal"/>
    <w:uiPriority w:val="34"/>
    <w:qFormat/>
    <w:rsid w:val="006D40BA"/>
    <w:pPr>
      <w:ind w:left="720"/>
      <w:contextualSpacing/>
    </w:pPr>
  </w:style>
  <w:style w:type="paragraph" w:styleId="Revision">
    <w:name w:val="Revision"/>
    <w:hidden/>
    <w:uiPriority w:val="99"/>
    <w:semiHidden/>
    <w:rsid w:val="0056035C"/>
    <w:rPr>
      <w:rFonts w:eastAsia="Times New Roman"/>
      <w:sz w:val="22"/>
    </w:rPr>
  </w:style>
  <w:style w:type="table" w:styleId="TableGrid">
    <w:name w:val="Table Grid"/>
    <w:basedOn w:val="TableNormal"/>
    <w:rsid w:val="006F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6742"/>
    <w:pPr>
      <w:spacing w:before="100" w:beforeAutospacing="1" w:after="100" w:afterAutospacing="1" w:line="240" w:lineRule="auto"/>
      <w:jc w:val="left"/>
    </w:pPr>
    <w:rPr>
      <w:sz w:val="24"/>
      <w:szCs w:val="24"/>
    </w:rPr>
  </w:style>
  <w:style w:type="paragraph" w:styleId="BalloonText">
    <w:name w:val="Balloon Text"/>
    <w:basedOn w:val="Normal"/>
    <w:link w:val="BalloonTextChar"/>
    <w:rsid w:val="00AE72E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72E1"/>
    <w:rPr>
      <w:rFonts w:ascii="Tahoma" w:eastAsia="Times New Roman" w:hAnsi="Tahoma" w:cs="Tahoma"/>
      <w:sz w:val="16"/>
      <w:szCs w:val="16"/>
      <w:lang w:val="fr-FR" w:eastAsia="fr-FR"/>
    </w:rPr>
  </w:style>
  <w:style w:type="character" w:styleId="Emphasis">
    <w:name w:val="Emphasis"/>
    <w:basedOn w:val="DefaultParagraphFont"/>
    <w:uiPriority w:val="20"/>
    <w:qFormat/>
    <w:rsid w:val="00FD332F"/>
    <w:rPr>
      <w:b/>
      <w:bCs/>
      <w:i w:val="0"/>
      <w:iCs w:val="0"/>
    </w:rPr>
  </w:style>
  <w:style w:type="character" w:customStyle="1" w:styleId="st1">
    <w:name w:val="st1"/>
    <w:basedOn w:val="DefaultParagraphFont"/>
    <w:rsid w:val="00FD332F"/>
  </w:style>
</w:styles>
</file>

<file path=word/webSettings.xml><?xml version="1.0" encoding="utf-8"?>
<w:webSettings xmlns:r="http://schemas.openxmlformats.org/officeDocument/2006/relationships" xmlns:w="http://schemas.openxmlformats.org/wordprocessingml/2006/main">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eer-cdr@cor.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r.europa.eu/en/engage/Pages/european-entrepreneurial-region.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er-cdr@cor.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cor.europa.eu/en/engage/Pages/european-entrepreneurial-region.aspx"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d8b05a6b-1ae1-49f8-8d0e-2f11ea0029ec,2;d8b05a6b-1ae1-49f8-8d0e-2f11ea0029ec,2;d8b05a6b-1ae1-49f8-8d0e-2f11ea0029ec,2;d8b05a6b-1ae1-49f8-8d0e-2f11ea0029ec,2;d8b05a6b-1ae1-49f8-8d0e-2f11ea0029ec,2;d8b05a6b-1ae1-49f8-8d0e-2f11ea0029ec,2;d8b05a6b-1ae1-49f8-8d0e-2f11ea0029ec,2;d8b05a6b-1ae1-49f8-8d0e-2f11ea0029e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1ca3f1a-19f4-461d-a43b-0b5ad97b08be">D2C4SC2FMWY4-1175505639-342</_dlc_DocId>
    <_dlc_DocIdUrl xmlns="61ca3f1a-19f4-461d-a43b-0b5ad97b08be">
      <Url>https://prod-portal.cor.europa.eu/en/engage/_layouts/15/DocIdRedir.aspx?ID=D2C4SC2FMWY4-1175505639-342</Url>
      <Description>D2C4SC2FMWY4-1175505639-342</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5DD44A310AAD498802B2B4CD1BC86A" ma:contentTypeVersion="3" ma:contentTypeDescription="Create a new document." ma:contentTypeScope="" ma:versionID="dd211d0f5062d3c2831dd0473bcee4c6">
  <xsd:schema xmlns:xsd="http://www.w3.org/2001/XMLSchema" xmlns:xs="http://www.w3.org/2001/XMLSchema" xmlns:p="http://schemas.microsoft.com/office/2006/metadata/properties" xmlns:ns1="http://schemas.microsoft.com/sharepoint/v3" xmlns:ns2="61ca3f1a-19f4-461d-a43b-0b5ad97b08be" xmlns:ns3="0839c6ea-a1dc-4bb6-8edd-505e41658e6a" targetNamespace="http://schemas.microsoft.com/office/2006/metadata/properties" ma:root="true" ma:fieldsID="7de4f00b8fa13854777e4204cb288026" ns1:_="" ns2:_="" ns3:_="">
    <xsd:import namespace="http://schemas.microsoft.com/sharepoint/v3"/>
    <xsd:import namespace="61ca3f1a-19f4-461d-a43b-0b5ad97b08be"/>
    <xsd:import namespace="0839c6ea-a1dc-4bb6-8edd-505e41658e6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a3f1a-19f4-461d-a43b-0b5ad97b08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39c6ea-a1dc-4bb6-8edd-505e41658e6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3A65-4FB5-42A0-A796-BB9F47E859D9}">
  <ds:schemaRefs>
    <ds:schemaRef ds:uri="http://schemas.microsoft.com/office/2006/metadata/longProperties"/>
  </ds:schemaRefs>
</ds:datastoreItem>
</file>

<file path=customXml/itemProps2.xml><?xml version="1.0" encoding="utf-8"?>
<ds:datastoreItem xmlns:ds="http://schemas.openxmlformats.org/officeDocument/2006/customXml" ds:itemID="{3F6C4BBE-0B10-43E1-9712-7ECF0C2DEDF4}">
  <ds:schemaRefs>
    <ds:schemaRef ds:uri="http://schemas.microsoft.com/sharepoint/v3/contenttype/forms"/>
  </ds:schemaRefs>
</ds:datastoreItem>
</file>

<file path=customXml/itemProps3.xml><?xml version="1.0" encoding="utf-8"?>
<ds:datastoreItem xmlns:ds="http://schemas.openxmlformats.org/officeDocument/2006/customXml" ds:itemID="{D058F343-D9D2-4684-858B-463708FA9EAD}">
  <ds:schemaRefs>
    <ds:schemaRef ds:uri="http://schemas.microsoft.com/office/2006/metadata/properties"/>
    <ds:schemaRef ds:uri="http://schemas.microsoft.com/office/infopath/2007/PartnerControls"/>
    <ds:schemaRef ds:uri="61ca3f1a-19f4-461d-a43b-0b5ad97b08be"/>
    <ds:schemaRef ds:uri="http://schemas.microsoft.com/sharepoint/v3"/>
  </ds:schemaRefs>
</ds:datastoreItem>
</file>

<file path=customXml/itemProps4.xml><?xml version="1.0" encoding="utf-8"?>
<ds:datastoreItem xmlns:ds="http://schemas.openxmlformats.org/officeDocument/2006/customXml" ds:itemID="{6CB94732-E297-44AC-95D1-91DE1739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ca3f1a-19f4-461d-a43b-0b5ad97b08be"/>
    <ds:schemaRef ds:uri="0839c6ea-a1dc-4bb6-8edd-505e4165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AF0F2-E3DB-4A4E-983C-A90232DD91CE}">
  <ds:schemaRefs>
    <ds:schemaRef ds:uri="http://schemas.microsoft.com/sharepoint/events"/>
  </ds:schemaRefs>
</ds:datastoreItem>
</file>

<file path=customXml/itemProps6.xml><?xml version="1.0" encoding="utf-8"?>
<ds:datastoreItem xmlns:ds="http://schemas.openxmlformats.org/officeDocument/2006/customXml" ds:itemID="{DE82AC40-67C7-431D-AB3A-E3016CD7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Comment se porter candidat au prix de la REE 2020</vt:lpstr>
    </vt:vector>
  </TitlesOfParts>
  <Company>CESE-CdR</Company>
  <LinksUpToDate>false</LinksUpToDate>
  <CharactersWithSpaces>9872</CharactersWithSpaces>
  <SharedDoc>false</SharedDoc>
  <HLinks>
    <vt:vector size="24" baseType="variant">
      <vt:variant>
        <vt:i4>4784249</vt:i4>
      </vt:variant>
      <vt:variant>
        <vt:i4>9</vt:i4>
      </vt:variant>
      <vt:variant>
        <vt:i4>0</vt:i4>
      </vt:variant>
      <vt:variant>
        <vt:i4>5</vt:i4>
      </vt:variant>
      <vt:variant>
        <vt:lpwstr>mailto:eer-cdr@cor.europa.eu</vt:lpwstr>
      </vt:variant>
      <vt:variant>
        <vt:lpwstr/>
      </vt:variant>
      <vt:variant>
        <vt:i4>1114181</vt:i4>
      </vt:variant>
      <vt:variant>
        <vt:i4>6</vt:i4>
      </vt:variant>
      <vt:variant>
        <vt:i4>0</vt:i4>
      </vt:variant>
      <vt:variant>
        <vt:i4>5</vt:i4>
      </vt:variant>
      <vt:variant>
        <vt:lpwstr>http://www.cor.europa.eu/eer</vt:lpwstr>
      </vt:variant>
      <vt:variant>
        <vt:lpwstr/>
      </vt:variant>
      <vt:variant>
        <vt:i4>4784249</vt:i4>
      </vt:variant>
      <vt:variant>
        <vt:i4>3</vt:i4>
      </vt:variant>
      <vt:variant>
        <vt:i4>0</vt:i4>
      </vt:variant>
      <vt:variant>
        <vt:i4>5</vt:i4>
      </vt:variant>
      <vt:variant>
        <vt:lpwstr>mailto:eer-cdr@cor.europa.eu</vt:lpwstr>
      </vt:variant>
      <vt:variant>
        <vt:lpwstr/>
      </vt:variant>
      <vt:variant>
        <vt:i4>1114140</vt:i4>
      </vt:variant>
      <vt:variant>
        <vt:i4>0</vt:i4>
      </vt:variant>
      <vt:variant>
        <vt:i4>0</vt:i4>
      </vt:variant>
      <vt:variant>
        <vt:i4>5</vt:i4>
      </vt:variant>
      <vt:variant>
        <vt:lpwstr>http://cor.europa.eu/eer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se porter candidat au prix de la REE 2020</dc:title>
  <dc:creator>Marc Kiwitt</dc:creator>
  <cp:keywords>COR-2017-05407-00-01-ADMIN-TRA-EN</cp:keywords>
  <dc:description>Rapporteur:  - Original language: EN - Date of document: 12/11/2018 - Date of meeting:  - External documents:  - Administrator: M. Zajaczkowski Piotr Pawel</dc:description>
  <cp:lastModifiedBy>Chloé</cp:lastModifiedBy>
  <cp:revision>2</cp:revision>
  <cp:lastPrinted>2014-09-17T09:44:00Z</cp:lastPrinted>
  <dcterms:created xsi:type="dcterms:W3CDTF">2018-12-21T09:44:00Z</dcterms:created>
  <dcterms:modified xsi:type="dcterms:W3CDTF">2018-12-21T09:44:00Z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07/11/2018, 07/11/2018, 15/11/2017, 15/11/2017, 26/10/2015, 26/10/2015</vt:lpwstr>
  </property>
  <property fmtid="{D5CDD505-2E9C-101B-9397-08002B2CF9AE}" pid="5" name="Pref_Time">
    <vt:lpwstr>13:50:45, 12:34:37, 11:08:51, 11:02:49, 14:39:37, 14:09:21</vt:lpwstr>
  </property>
  <property fmtid="{D5CDD505-2E9C-101B-9397-08002B2CF9AE}" pid="6" name="Pref_User">
    <vt:lpwstr>enied, ssex, enied, YMUR, amett, ssex</vt:lpwstr>
  </property>
  <property fmtid="{D5CDD505-2E9C-101B-9397-08002B2CF9AE}" pid="7" name="Pref_FileName">
    <vt:lpwstr>COR-2017-05407-00-01-ADMIN-TRA-EN-CRR.docx, COR-2017-05407-00-01-ADMIN-CRR-EN.docx, COR-2017-05407-00-00-ADMIN-TRA-EN-CRR.docx, COR-2017-05407-00-00-ADMIN-CRR-EN.docx, COR-2015-05539-00-00-ADMIN-TRA-EN-CRR.docx, COR-2015-05539-00-00-ADMIN-CRR-EN.docx</vt:lpwstr>
  </property>
  <property fmtid="{D5CDD505-2E9C-101B-9397-08002B2CF9AE}" pid="8" name="ContentTypeId">
    <vt:lpwstr>0x010100C05DD44A310AAD498802B2B4CD1BC86A</vt:lpwstr>
  </property>
  <property fmtid="{D5CDD505-2E9C-101B-9397-08002B2CF9AE}" pid="9" name="_dlc_DocIdItemGuid">
    <vt:lpwstr>de47ac30-7508-4020-a167-f49045db3567</vt:lpwstr>
  </property>
  <property fmtid="{D5CDD505-2E9C-101B-9397-08002B2CF9AE}" pid="10" name="DocumentType_0">
    <vt:lpwstr>ADMIN|58d8ac89-e690-41f6-a5e8-508fa4a7c73c</vt:lpwstr>
  </property>
  <property fmtid="{D5CDD505-2E9C-101B-9397-08002B2CF9AE}" pid="11" name="AvailableTranslations">
    <vt:lpwstr>26;#CS|72f9705b-0217-4fd3-bea2-cbc7ed80e26e;#25;#LV|46f7e311-5d9f-4663-b433-18aeccb7ace7;#37;#SK|46d9fce0-ef79-4f71-b89b-cd6aa82426b8;#28;#LT|a7ff5ce7-6123-4f68-865a-a57c31810414;#18;#PL|1e03da61-4678-4e07-b136-b5024ca9197b;#7;#IT|0774613c-01ed-4e5d-a25d-</vt:lpwstr>
  </property>
  <property fmtid="{D5CDD505-2E9C-101B-9397-08002B2CF9AE}" pid="12" name="DossierName_0">
    <vt:lpwstr/>
  </property>
  <property fmtid="{D5CDD505-2E9C-101B-9397-08002B2CF9AE}" pid="13" name="DocumentSource_0">
    <vt:lpwstr>CoR|cb2d75ef-4a7d-4393-b797-49ed6298a5ea</vt:lpwstr>
  </property>
  <property fmtid="{D5CDD505-2E9C-101B-9397-08002B2CF9AE}" pid="14" name="FicheYear">
    <vt:i4>2017</vt:i4>
  </property>
  <property fmtid="{D5CDD505-2E9C-101B-9397-08002B2CF9AE}" pid="15" name="DocumentNumber">
    <vt:i4>5407</vt:i4>
  </property>
  <property fmtid="{D5CDD505-2E9C-101B-9397-08002B2CF9AE}" pid="16" name="DocumentVersion">
    <vt:i4>1</vt:i4>
  </property>
  <property fmtid="{D5CDD505-2E9C-101B-9397-08002B2CF9AE}" pid="17" name="DocumentSource">
    <vt:lpwstr>1;#CoR|cb2d75ef-4a7d-4393-b797-49ed6298a5ea</vt:lpwstr>
  </property>
  <property fmtid="{D5CDD505-2E9C-101B-9397-08002B2CF9AE}" pid="18" name="DocumentType">
    <vt:lpwstr>50;#ADMIN|58d8ac89-e690-41f6-a5e8-508fa4a7c73c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Commission ECON</vt:lpwstr>
  </property>
  <property fmtid="{D5CDD505-2E9C-101B-9397-08002B2CF9AE}" pid="23" name="Confidentiality">
    <vt:lpwstr>10;#Unrestricted|826e22d7-d029-4ec0-a450-0c28ff673572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
  </property>
  <property fmtid="{D5CDD505-2E9C-101B-9397-08002B2CF9AE}" pid="26" name="OriginalLanguage">
    <vt:lpwstr>12;#EN|f2175f21-25d7-44a3-96da-d6a61b075e1b</vt:lpwstr>
  </property>
  <property fmtid="{D5CDD505-2E9C-101B-9397-08002B2CF9AE}" pid="27" name="MeetingName">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41;#ET|ff6c3f4c-b02c-4c3c-ab07-2c37995a7a0a;#40;#HR|2f555653-ed1a-4fe6-8362-9082d95989e5;#39;#BG|1a1b3951-7821-4e6a-85f5-5673fc08bd2c;#38;#ES|e7a6b05b-ae16-40c8-add9-68b64b03aeba;#37;#SK|46d9fce0-ef79-4f71-b89b-cd6aa82426b8;#36;#FI|87606a43-d45f-42d6-b8c9</vt:lpwstr>
  </property>
  <property fmtid="{D5CDD505-2E9C-101B-9397-08002B2CF9AE}" pid="31" name="AvailableTranslations_0">
    <vt:lpwstr>CS|72f9705b-0217-4fd3-bea2-cbc7ed80e26e;SK|46d9fce0-ef79-4f71-b89b-cd6aa82426b8;LT|a7ff5ce7-6123-4f68-865a-a57c31810414;PL|1e03da61-4678-4e07-b136-b5024ca9197b;IT|0774613c-01ed-4e5d-a25d-11d2388de825;DE|f6b31e5a-26fa-4935-b661-318e46daf27e;EN|f2175f21-25d</vt:lpwstr>
  </property>
  <property fmtid="{D5CDD505-2E9C-101B-9397-08002B2CF9AE}" pid="32" name="VersionStatus">
    <vt:lpwstr>6;#Final|ea5e6674-7b27-4bac-b091-73adbb394efe</vt:lpwstr>
  </property>
  <property fmtid="{D5CDD505-2E9C-101B-9397-08002B2CF9AE}" pid="33" name="VersionStatus_0">
    <vt:lpwstr>Final|ea5e6674-7b27-4bac-b091-73adbb394efe</vt:lpwstr>
  </property>
  <property fmtid="{D5CDD505-2E9C-101B-9397-08002B2CF9AE}" pid="34" name="FicheNumber">
    <vt:i4>13104</vt:i4>
  </property>
  <property fmtid="{D5CDD505-2E9C-101B-9397-08002B2CF9AE}" pid="35" name="DocumentYear">
    <vt:i4>2017</vt:i4>
  </property>
  <property fmtid="{D5CDD505-2E9C-101B-9397-08002B2CF9AE}" pid="36" name="DocumentLanguage">
    <vt:lpwstr>4;#FR|d2afafd3-4c81-4f60-8f52-ee33f2f54ff3</vt:lpwstr>
  </property>
</Properties>
</file>