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440"/>
        <w:gridCol w:w="2404"/>
        <w:gridCol w:w="2379"/>
      </w:tblGrid>
      <w:tr w:rsidR="001060BC" w:rsidTr="007B00F3">
        <w:tc>
          <w:tcPr>
            <w:tcW w:w="2444" w:type="dxa"/>
            <w:vAlign w:val="center"/>
          </w:tcPr>
          <w:p w:rsidR="001060BC" w:rsidRDefault="001060BC" w:rsidP="007B00F3">
            <w:pPr>
              <w:rPr>
                <w:color w:val="1F497D" w:themeColor="text2"/>
                <w:sz w:val="24"/>
                <w:szCs w:val="24"/>
                <w:highlight w:val="yellow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fr-FR"/>
              </w:rPr>
              <w:drawing>
                <wp:inline distT="0" distB="0" distL="0" distR="0" wp14:anchorId="51654769" wp14:editId="35716209">
                  <wp:extent cx="1090800" cy="5004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T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00" cy="5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Align w:val="center"/>
          </w:tcPr>
          <w:p w:rsidR="001060BC" w:rsidRDefault="001060BC" w:rsidP="007B00F3">
            <w:pPr>
              <w:rPr>
                <w:color w:val="1F497D" w:themeColor="text2"/>
                <w:sz w:val="24"/>
                <w:szCs w:val="24"/>
                <w:highlight w:val="yellow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fr-FR"/>
              </w:rPr>
              <w:drawing>
                <wp:inline distT="0" distB="0" distL="0" distR="0" wp14:anchorId="59CAB368" wp14:editId="50518934">
                  <wp:extent cx="1372235" cy="3672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labo-logo-H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1060BC" w:rsidRDefault="001060BC" w:rsidP="008D505B">
            <w:pPr>
              <w:rPr>
                <w:color w:val="1F497D" w:themeColor="text2"/>
                <w:sz w:val="24"/>
                <w:szCs w:val="24"/>
                <w:highlight w:val="yellow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fr-FR"/>
              </w:rPr>
              <w:drawing>
                <wp:inline distT="0" distB="0" distL="0" distR="0" wp14:anchorId="6309635C" wp14:editId="7A35A798">
                  <wp:extent cx="961200" cy="79920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EN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00" cy="79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</w:tcPr>
          <w:p w:rsidR="001060BC" w:rsidRPr="001060BC" w:rsidRDefault="001060BC" w:rsidP="008D505B">
            <w:pPr>
              <w:rPr>
                <w:noProof/>
                <w:sz w:val="16"/>
                <w:szCs w:val="16"/>
                <w:lang w:eastAsia="fr-FR"/>
              </w:rPr>
            </w:pPr>
            <w:r w:rsidRPr="001060BC">
              <w:rPr>
                <w:noProof/>
                <w:sz w:val="16"/>
                <w:szCs w:val="16"/>
                <w:lang w:eastAsia="fr-FR"/>
              </w:rPr>
              <w:t>Avec le soutien de</w:t>
            </w:r>
            <w:r w:rsidR="0044091B">
              <w:rPr>
                <w:noProof/>
                <w:sz w:val="16"/>
                <w:szCs w:val="16"/>
                <w:lang w:eastAsia="fr-FR"/>
              </w:rPr>
              <w:t> :</w:t>
            </w:r>
          </w:p>
          <w:p w:rsidR="001060BC" w:rsidRDefault="001060BC" w:rsidP="008D505B">
            <w:pPr>
              <w:rPr>
                <w:color w:val="1F497D" w:themeColor="text2"/>
                <w:sz w:val="24"/>
                <w:szCs w:val="24"/>
                <w:highlight w:val="yellow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fr-FR"/>
              </w:rPr>
              <w:drawing>
                <wp:inline distT="0" distB="0" distL="0" distR="0">
                  <wp:extent cx="687600" cy="75600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DEME_fr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7F7" w:rsidRDefault="00C667F7" w:rsidP="008D505B">
      <w:pPr>
        <w:rPr>
          <w:color w:val="1F497D" w:themeColor="text2"/>
          <w:sz w:val="24"/>
          <w:szCs w:val="24"/>
          <w:highlight w:val="yellow"/>
        </w:rPr>
      </w:pPr>
    </w:p>
    <w:p w:rsidR="00E14215" w:rsidRDefault="00E14215" w:rsidP="00F263B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Séminaire Découverte</w:t>
      </w:r>
    </w:p>
    <w:p w:rsidR="00E14215" w:rsidRDefault="00E14215" w:rsidP="00F263B4">
      <w:pPr>
        <w:jc w:val="center"/>
        <w:rPr>
          <w:b/>
          <w:sz w:val="28"/>
          <w:szCs w:val="24"/>
        </w:rPr>
      </w:pPr>
    </w:p>
    <w:p w:rsidR="009B56E0" w:rsidRPr="00D17C15" w:rsidRDefault="00F263B4" w:rsidP="00F263B4">
      <w:pPr>
        <w:jc w:val="center"/>
        <w:rPr>
          <w:b/>
          <w:sz w:val="28"/>
          <w:szCs w:val="24"/>
        </w:rPr>
      </w:pPr>
      <w:r w:rsidRPr="00D17C15">
        <w:rPr>
          <w:b/>
          <w:sz w:val="28"/>
          <w:szCs w:val="24"/>
        </w:rPr>
        <w:t xml:space="preserve">Co-construire un projet </w:t>
      </w:r>
      <w:r w:rsidR="00D17C15" w:rsidRPr="00D17C15">
        <w:rPr>
          <w:b/>
          <w:sz w:val="28"/>
          <w:szCs w:val="24"/>
        </w:rPr>
        <w:t>de transition énergétique</w:t>
      </w:r>
      <w:r w:rsidRPr="00D17C15">
        <w:rPr>
          <w:b/>
          <w:sz w:val="28"/>
          <w:szCs w:val="24"/>
        </w:rPr>
        <w:t xml:space="preserve"> </w:t>
      </w:r>
      <w:r w:rsidR="009B56E0" w:rsidRPr="00D17C15">
        <w:rPr>
          <w:b/>
          <w:sz w:val="28"/>
          <w:szCs w:val="24"/>
        </w:rPr>
        <w:t>local</w:t>
      </w:r>
      <w:r w:rsidR="00D17C15" w:rsidRPr="00D17C15">
        <w:rPr>
          <w:b/>
          <w:sz w:val="28"/>
          <w:szCs w:val="24"/>
        </w:rPr>
        <w:t>e :</w:t>
      </w:r>
    </w:p>
    <w:p w:rsidR="00F263B4" w:rsidRPr="00D17C15" w:rsidRDefault="009B56E0" w:rsidP="00F263B4">
      <w:pPr>
        <w:jc w:val="center"/>
        <w:rPr>
          <w:b/>
          <w:sz w:val="28"/>
          <w:szCs w:val="24"/>
        </w:rPr>
      </w:pPr>
      <w:r w:rsidRPr="00D17C15">
        <w:rPr>
          <w:b/>
          <w:sz w:val="28"/>
          <w:szCs w:val="24"/>
        </w:rPr>
        <w:t>P</w:t>
      </w:r>
      <w:r w:rsidR="00F263B4" w:rsidRPr="00D17C15">
        <w:rPr>
          <w:b/>
          <w:sz w:val="28"/>
          <w:szCs w:val="24"/>
        </w:rPr>
        <w:t xml:space="preserve">aroles </w:t>
      </w:r>
      <w:r w:rsidR="00435054">
        <w:rPr>
          <w:b/>
          <w:sz w:val="28"/>
          <w:szCs w:val="24"/>
        </w:rPr>
        <w:t>d’</w:t>
      </w:r>
      <w:r w:rsidR="00F263B4" w:rsidRPr="00D17C15">
        <w:rPr>
          <w:b/>
          <w:sz w:val="28"/>
          <w:szCs w:val="24"/>
        </w:rPr>
        <w:t>acteurs de l</w:t>
      </w:r>
      <w:r w:rsidR="00D17C15">
        <w:rPr>
          <w:b/>
          <w:sz w:val="28"/>
          <w:szCs w:val="24"/>
        </w:rPr>
        <w:t>’ESS et de</w:t>
      </w:r>
      <w:r w:rsidR="00F263B4" w:rsidRPr="00D17C15">
        <w:rPr>
          <w:b/>
          <w:sz w:val="28"/>
          <w:szCs w:val="24"/>
        </w:rPr>
        <w:t xml:space="preserve"> l’énergie</w:t>
      </w:r>
      <w:r w:rsidR="00D17C15">
        <w:rPr>
          <w:b/>
          <w:sz w:val="28"/>
          <w:szCs w:val="24"/>
        </w:rPr>
        <w:t xml:space="preserve"> des collectivités locales</w:t>
      </w:r>
    </w:p>
    <w:p w:rsidR="00F263B4" w:rsidRPr="008924DA" w:rsidRDefault="00F263B4">
      <w:pPr>
        <w:rPr>
          <w:sz w:val="28"/>
          <w:szCs w:val="24"/>
        </w:rPr>
      </w:pPr>
    </w:p>
    <w:p w:rsidR="00F263B4" w:rsidRDefault="00FD7F86" w:rsidP="00FD7F86">
      <w:pPr>
        <w:jc w:val="center"/>
        <w:rPr>
          <w:b/>
          <w:sz w:val="24"/>
        </w:rPr>
      </w:pPr>
      <w:r w:rsidRPr="008924DA">
        <w:rPr>
          <w:b/>
          <w:sz w:val="24"/>
        </w:rPr>
        <w:t xml:space="preserve">Paris, 16 juin 2016 </w:t>
      </w:r>
    </w:p>
    <w:p w:rsidR="00E4002F" w:rsidRDefault="00E4002F" w:rsidP="00E400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Caisse des dépôts</w:t>
      </w:r>
    </w:p>
    <w:p w:rsidR="0070554D" w:rsidRDefault="0070554D" w:rsidP="0070554D">
      <w:pPr>
        <w:jc w:val="center"/>
        <w:rPr>
          <w:b/>
          <w:sz w:val="24"/>
          <w:szCs w:val="24"/>
        </w:rPr>
      </w:pPr>
      <w:r>
        <w:rPr>
          <w:rFonts w:ascii="Comic Sans MS" w:eastAsia="Times New Roman" w:hAnsi="Comic Sans MS"/>
          <w:color w:val="000000"/>
        </w:rPr>
        <w:t>Amphithéâtre Bloch-Lainé (sous-sol)</w:t>
      </w:r>
    </w:p>
    <w:p w:rsidR="00E4002F" w:rsidRDefault="0070554D" w:rsidP="00E4002F">
      <w:pPr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2</w:t>
      </w:r>
      <w:r w:rsidR="0044091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E4002F">
        <w:rPr>
          <w:b/>
          <w:sz w:val="24"/>
          <w:szCs w:val="24"/>
        </w:rPr>
        <w:t>avenue Pierre Mendès-France</w:t>
      </w:r>
      <w:r w:rsidR="00E4002F" w:rsidRPr="005E46EC">
        <w:rPr>
          <w:b/>
          <w:sz w:val="24"/>
          <w:szCs w:val="24"/>
        </w:rPr>
        <w:t xml:space="preserve"> </w:t>
      </w:r>
      <w:r w:rsidR="00E4002F">
        <w:rPr>
          <w:b/>
          <w:sz w:val="24"/>
          <w:szCs w:val="24"/>
        </w:rPr>
        <w:t>–</w:t>
      </w:r>
      <w:r w:rsidR="00E4002F" w:rsidRPr="005E46EC">
        <w:rPr>
          <w:b/>
          <w:sz w:val="24"/>
          <w:szCs w:val="24"/>
        </w:rPr>
        <w:t xml:space="preserve"> Paris</w:t>
      </w:r>
      <w:r w:rsidR="00E4002F">
        <w:rPr>
          <w:b/>
          <w:sz w:val="24"/>
          <w:szCs w:val="24"/>
        </w:rPr>
        <w:t xml:space="preserve"> 13</w:t>
      </w:r>
      <w:r w:rsidR="00E4002F" w:rsidRPr="00734D3D">
        <w:rPr>
          <w:b/>
          <w:sz w:val="24"/>
          <w:szCs w:val="24"/>
          <w:vertAlign w:val="superscript"/>
        </w:rPr>
        <w:t>ème</w:t>
      </w:r>
    </w:p>
    <w:p w:rsidR="00E4002F" w:rsidRPr="00B365C5" w:rsidRDefault="00E4002F" w:rsidP="00FD7F86">
      <w:pPr>
        <w:jc w:val="center"/>
        <w:rPr>
          <w:b/>
        </w:rPr>
      </w:pPr>
    </w:p>
    <w:p w:rsidR="008A48A0" w:rsidRPr="0044091B" w:rsidRDefault="008A48A0" w:rsidP="0044091B">
      <w:pPr>
        <w:jc w:val="center"/>
        <w:rPr>
          <w:b/>
          <w:color w:val="C00000"/>
          <w:sz w:val="28"/>
        </w:rPr>
      </w:pPr>
      <w:r w:rsidRPr="008A48A0">
        <w:rPr>
          <w:b/>
          <w:color w:val="C00000"/>
          <w:sz w:val="28"/>
        </w:rPr>
        <w:t xml:space="preserve">PROGRAMME </w:t>
      </w:r>
    </w:p>
    <w:p w:rsidR="008A48A0" w:rsidRPr="00FD7F86" w:rsidRDefault="008A48A0"/>
    <w:p w:rsidR="00A92DC6" w:rsidRDefault="00243248" w:rsidP="008A48A0">
      <w:pPr>
        <w:jc w:val="both"/>
      </w:pPr>
      <w:r>
        <w:t>E</w:t>
      </w:r>
      <w:r w:rsidR="00FD7F86" w:rsidRPr="00FD7F86">
        <w:t>ntre les approches techniques de la transition énergétique et celle</w:t>
      </w:r>
      <w:r w:rsidR="0029416A">
        <w:t>s</w:t>
      </w:r>
      <w:r w:rsidR="00FD7F86" w:rsidRPr="00FD7F86">
        <w:t xml:space="preserve"> plus </w:t>
      </w:r>
      <w:r>
        <w:t>sociétales, les acteurs du territoire</w:t>
      </w:r>
      <w:r w:rsidR="008D505B">
        <w:t xml:space="preserve"> ne sont pas toujours les mêmes </w:t>
      </w:r>
      <w:r>
        <w:t>et</w:t>
      </w:r>
      <w:r w:rsidR="00FD7F86" w:rsidRPr="00FD7F86">
        <w:t xml:space="preserve"> il est difficile de passer de l’une à l’autre. </w:t>
      </w:r>
      <w:r w:rsidR="00CA3F8C">
        <w:t>Tisser ce lien c</w:t>
      </w:r>
      <w:r w:rsidR="00FD7F86" w:rsidRPr="00FD7F86">
        <w:t xml:space="preserve">’est précisément l’enjeu </w:t>
      </w:r>
      <w:r>
        <w:t xml:space="preserve">pour développer un projet commun qui repense l’économie locale </w:t>
      </w:r>
      <w:r w:rsidR="00AA7C52">
        <w:t>pour une ville post carbone</w:t>
      </w:r>
      <w:r w:rsidR="00FD7F86" w:rsidRPr="00FD7F86">
        <w:t> : promouvoir le faire ensemble, développer l’innovation sociale et sensibiliser un nombre plus large d’acteurs : habitants, élus, entreprises</w:t>
      </w:r>
      <w:r w:rsidR="00FD7F86">
        <w:t>.</w:t>
      </w:r>
    </w:p>
    <w:p w:rsidR="00FD7F86" w:rsidRDefault="00FD7F86"/>
    <w:p w:rsidR="00FD7F86" w:rsidRPr="00FD7F86" w:rsidRDefault="00FD7F86">
      <w:pPr>
        <w:rPr>
          <w:b/>
        </w:rPr>
      </w:pPr>
      <w:r w:rsidRPr="00FD7F86">
        <w:rPr>
          <w:b/>
        </w:rPr>
        <w:t xml:space="preserve">Objectif </w:t>
      </w:r>
      <w:r w:rsidR="00B7155A">
        <w:rPr>
          <w:b/>
        </w:rPr>
        <w:t>de la rencontre</w:t>
      </w:r>
    </w:p>
    <w:p w:rsidR="00FD7F86" w:rsidRDefault="00FD7F86" w:rsidP="008A48A0">
      <w:pPr>
        <w:pStyle w:val="Paragraphedeliste"/>
        <w:numPr>
          <w:ilvl w:val="0"/>
          <w:numId w:val="5"/>
        </w:numPr>
        <w:jc w:val="both"/>
      </w:pPr>
      <w:r>
        <w:t xml:space="preserve">Faire se rencontrer les </w:t>
      </w:r>
      <w:r w:rsidRPr="00FD7F86">
        <w:t xml:space="preserve">élus et </w:t>
      </w:r>
      <w:r>
        <w:t xml:space="preserve">les </w:t>
      </w:r>
      <w:r w:rsidRPr="00FD7F86">
        <w:t xml:space="preserve">techniciens </w:t>
      </w:r>
      <w:r>
        <w:t>de l’</w:t>
      </w:r>
      <w:r w:rsidRPr="00FD7F86">
        <w:t xml:space="preserve">ESS </w:t>
      </w:r>
      <w:r>
        <w:t>et</w:t>
      </w:r>
      <w:r w:rsidRPr="00FD7F86">
        <w:t xml:space="preserve"> </w:t>
      </w:r>
      <w:r w:rsidR="00B7155A">
        <w:t xml:space="preserve">ceux </w:t>
      </w:r>
      <w:r>
        <w:t>de l’</w:t>
      </w:r>
      <w:r w:rsidRPr="00FD7F86">
        <w:t>énergie</w:t>
      </w:r>
      <w:r>
        <w:t>-</w:t>
      </w:r>
      <w:r w:rsidRPr="00FD7F86">
        <w:t>environnement</w:t>
      </w:r>
      <w:r>
        <w:t xml:space="preserve"> membres</w:t>
      </w:r>
      <w:r w:rsidR="00B365C5">
        <w:t>*</w:t>
      </w:r>
      <w:r>
        <w:t xml:space="preserve"> du RTES et d’Energy Cities </w:t>
      </w:r>
      <w:r w:rsidR="00B7155A">
        <w:t>pour</w:t>
      </w:r>
      <w:r>
        <w:t xml:space="preserve"> dialoguer autour d’une journée organisée en deux temps d’échange</w:t>
      </w:r>
      <w:r w:rsidR="00B365C5">
        <w:t xml:space="preserve"> </w:t>
      </w:r>
      <w:r w:rsidR="005976BB">
        <w:t>qui vien</w:t>
      </w:r>
      <w:r w:rsidR="00B365C5">
        <w:t>d</w:t>
      </w:r>
      <w:r w:rsidR="005976BB">
        <w:t>r</w:t>
      </w:r>
      <w:r w:rsidR="00B365C5">
        <w:t xml:space="preserve">ont alimenter les propositions </w:t>
      </w:r>
      <w:r w:rsidR="005976BB">
        <w:t>« p</w:t>
      </w:r>
      <w:r w:rsidR="00B365C5">
        <w:t>our changer d’</w:t>
      </w:r>
      <w:r w:rsidR="005976BB">
        <w:t>éche</w:t>
      </w:r>
      <w:r w:rsidR="00B365C5">
        <w:t>lle</w:t>
      </w:r>
      <w:r w:rsidR="005976BB">
        <w:t> »</w:t>
      </w:r>
      <w:r w:rsidR="00B365C5">
        <w:t xml:space="preserve"> du labo ESS </w:t>
      </w:r>
      <w:r w:rsidR="005976BB">
        <w:t>détaillées dans</w:t>
      </w:r>
      <w:r w:rsidR="00B365C5">
        <w:t xml:space="preserve"> sa publication «  Pour une transition énergétique citoyenne »</w:t>
      </w:r>
      <w:r w:rsidR="005976BB">
        <w:t>.</w:t>
      </w:r>
    </w:p>
    <w:p w:rsidR="00B365C5" w:rsidRPr="00FD7F86" w:rsidRDefault="00B365C5" w:rsidP="008A48A0">
      <w:pPr>
        <w:pStyle w:val="Paragraphedeliste"/>
        <w:numPr>
          <w:ilvl w:val="0"/>
          <w:numId w:val="5"/>
        </w:numPr>
        <w:jc w:val="both"/>
      </w:pPr>
      <w:r>
        <w:t xml:space="preserve">Discuter autour de témoignages de terrain </w:t>
      </w:r>
    </w:p>
    <w:p w:rsidR="00FD7F86" w:rsidRDefault="00FD7F86" w:rsidP="008A48A0">
      <w:pPr>
        <w:pStyle w:val="Paragraphedeliste"/>
        <w:numPr>
          <w:ilvl w:val="0"/>
          <w:numId w:val="5"/>
        </w:numPr>
        <w:jc w:val="both"/>
      </w:pPr>
      <w:r>
        <w:t>A</w:t>
      </w:r>
      <w:r w:rsidRPr="00FD7F86">
        <w:t>ccultur</w:t>
      </w:r>
      <w:r w:rsidR="00A65BD9">
        <w:t>er</w:t>
      </w:r>
      <w:r w:rsidRPr="00FD7F86">
        <w:t xml:space="preserve"> – décloisonner – </w:t>
      </w:r>
      <w:r w:rsidR="008D505B">
        <w:t xml:space="preserve">renforcer la </w:t>
      </w:r>
      <w:r w:rsidRPr="00FD7F86">
        <w:t>transversalité entre services</w:t>
      </w:r>
    </w:p>
    <w:p w:rsidR="008D505B" w:rsidRDefault="008D505B"/>
    <w:p w:rsidR="00A92DC6" w:rsidRPr="00FD7F86" w:rsidRDefault="00A92D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7"/>
        <w:gridCol w:w="7831"/>
      </w:tblGrid>
      <w:tr w:rsidR="008A7235" w:rsidTr="0029416A">
        <w:tc>
          <w:tcPr>
            <w:tcW w:w="1809" w:type="dxa"/>
          </w:tcPr>
          <w:p w:rsidR="008A7235" w:rsidRPr="009B56E0" w:rsidRDefault="008A7235" w:rsidP="0029416A">
            <w:pPr>
              <w:rPr>
                <w:b/>
              </w:rPr>
            </w:pPr>
            <w:r>
              <w:rPr>
                <w:b/>
              </w:rPr>
              <w:t>A partir de 9.30</w:t>
            </w:r>
          </w:p>
        </w:tc>
        <w:tc>
          <w:tcPr>
            <w:tcW w:w="7938" w:type="dxa"/>
          </w:tcPr>
          <w:p w:rsidR="008A7235" w:rsidRDefault="008A7235" w:rsidP="0029416A">
            <w:pPr>
              <w:rPr>
                <w:b/>
              </w:rPr>
            </w:pPr>
            <w:r>
              <w:rPr>
                <w:b/>
              </w:rPr>
              <w:t>Accueil café</w:t>
            </w:r>
          </w:p>
        </w:tc>
      </w:tr>
      <w:tr w:rsidR="0029416A" w:rsidTr="0029416A">
        <w:tc>
          <w:tcPr>
            <w:tcW w:w="1809" w:type="dxa"/>
          </w:tcPr>
          <w:p w:rsidR="0029416A" w:rsidRDefault="0029416A" w:rsidP="0029416A">
            <w:pPr>
              <w:rPr>
                <w:b/>
              </w:rPr>
            </w:pPr>
            <w:r w:rsidRPr="009B56E0">
              <w:rPr>
                <w:b/>
              </w:rPr>
              <w:t>10.00 – 1</w:t>
            </w:r>
            <w:r>
              <w:rPr>
                <w:b/>
              </w:rPr>
              <w:t>0</w:t>
            </w:r>
            <w:r w:rsidRPr="009B56E0">
              <w:rPr>
                <w:b/>
              </w:rPr>
              <w:t>.</w:t>
            </w:r>
            <w:r>
              <w:rPr>
                <w:b/>
              </w:rPr>
              <w:t>15</w:t>
            </w:r>
          </w:p>
          <w:p w:rsidR="0029416A" w:rsidRDefault="0029416A" w:rsidP="009B56E0"/>
        </w:tc>
        <w:tc>
          <w:tcPr>
            <w:tcW w:w="7938" w:type="dxa"/>
          </w:tcPr>
          <w:p w:rsidR="008D505B" w:rsidRDefault="0029416A" w:rsidP="0029416A">
            <w:pPr>
              <w:rPr>
                <w:b/>
              </w:rPr>
            </w:pPr>
            <w:r>
              <w:rPr>
                <w:b/>
              </w:rPr>
              <w:t>Mots d’accueil</w:t>
            </w:r>
            <w:r w:rsidR="008D505B">
              <w:rPr>
                <w:b/>
              </w:rPr>
              <w:t xml:space="preserve"> - </w:t>
            </w:r>
            <w:r>
              <w:rPr>
                <w:b/>
              </w:rPr>
              <w:t>Objectifs de cette rencontre</w:t>
            </w:r>
          </w:p>
          <w:p w:rsidR="00271DA9" w:rsidRPr="008924DA" w:rsidRDefault="008D505B" w:rsidP="008924DA">
            <w:pPr>
              <w:pStyle w:val="Paragraphedeliste"/>
              <w:numPr>
                <w:ilvl w:val="0"/>
                <w:numId w:val="5"/>
              </w:numPr>
              <w:rPr>
                <w:rFonts w:eastAsia="Times New Roman" w:cs="Times New Roman"/>
                <w:lang w:eastAsia="zh-CN"/>
              </w:rPr>
            </w:pPr>
            <w:r w:rsidRPr="00C667F7">
              <w:t xml:space="preserve">Christiane </w:t>
            </w:r>
            <w:r w:rsidR="00E4002F" w:rsidRPr="00C667F7">
              <w:t>BOUCHART</w:t>
            </w:r>
            <w:r w:rsidRPr="00C667F7">
              <w:t>, Présidente du Réseau des</w:t>
            </w:r>
            <w:r w:rsidR="00A54FF3" w:rsidRPr="00F61846">
              <w:t xml:space="preserve"> collectivités</w:t>
            </w:r>
            <w:r w:rsidRPr="00F61846">
              <w:t xml:space="preserve"> Territo</w:t>
            </w:r>
            <w:r w:rsidR="00A54FF3" w:rsidRPr="00F61846">
              <w:t>riale</w:t>
            </w:r>
            <w:r w:rsidRPr="008924DA">
              <w:t xml:space="preserve">s pour </w:t>
            </w:r>
            <w:r w:rsidR="00A54FF3" w:rsidRPr="008924DA">
              <w:t xml:space="preserve">une </w:t>
            </w:r>
            <w:r w:rsidRPr="008924DA">
              <w:t>Economie Solidaire (RTES), vice-Présidente du Labo de l’ESS, conseillère municipale de Lille</w:t>
            </w:r>
            <w:r w:rsidR="00A54FF3" w:rsidRPr="008924DA">
              <w:t xml:space="preserve"> en charge de l’ESS</w:t>
            </w:r>
            <w:r w:rsidRPr="008924DA">
              <w:t xml:space="preserve"> et </w:t>
            </w:r>
            <w:r w:rsidR="00A54FF3" w:rsidRPr="008924DA">
              <w:t>vice-président</w:t>
            </w:r>
            <w:r w:rsidRPr="008924DA">
              <w:t xml:space="preserve"> de Lille Métropole</w:t>
            </w:r>
            <w:r w:rsidR="00A54FF3" w:rsidRPr="00C667F7">
              <w:t xml:space="preserve"> </w:t>
            </w:r>
            <w:r w:rsidR="00A54FF3" w:rsidRPr="008924DA">
              <w:rPr>
                <w:rFonts w:eastAsia="Times New Roman" w:cs="Times New Roman"/>
                <w:lang w:eastAsia="zh-CN"/>
              </w:rPr>
              <w:t>en charge du Développement Durable et du Plan Climat</w:t>
            </w:r>
          </w:p>
          <w:p w:rsidR="008D505B" w:rsidRPr="008D505B" w:rsidRDefault="00271DA9">
            <w:pPr>
              <w:pStyle w:val="Paragraphedeliste"/>
              <w:numPr>
                <w:ilvl w:val="0"/>
                <w:numId w:val="5"/>
              </w:numPr>
            </w:pPr>
            <w:r>
              <w:rPr>
                <w:szCs w:val="24"/>
              </w:rPr>
              <w:t xml:space="preserve">Claire </w:t>
            </w:r>
            <w:r w:rsidR="00E4002F">
              <w:rPr>
                <w:szCs w:val="24"/>
              </w:rPr>
              <w:t>ROUMET</w:t>
            </w:r>
            <w:r>
              <w:rPr>
                <w:szCs w:val="24"/>
              </w:rPr>
              <w:t>, déléguée générale d’Energy Cities</w:t>
            </w:r>
          </w:p>
          <w:p w:rsidR="0029416A" w:rsidRDefault="0029416A" w:rsidP="009B56E0"/>
        </w:tc>
      </w:tr>
      <w:tr w:rsidR="0029416A" w:rsidTr="0029416A">
        <w:tc>
          <w:tcPr>
            <w:tcW w:w="1809" w:type="dxa"/>
          </w:tcPr>
          <w:p w:rsidR="0029416A" w:rsidRPr="007B5833" w:rsidRDefault="0029416A" w:rsidP="007B5833">
            <w:pPr>
              <w:pStyle w:val="Paragraphedeliste"/>
              <w:numPr>
                <w:ilvl w:val="1"/>
                <w:numId w:val="8"/>
              </w:numPr>
              <w:rPr>
                <w:b/>
              </w:rPr>
            </w:pPr>
            <w:r w:rsidRPr="007B5833">
              <w:rPr>
                <w:b/>
              </w:rPr>
              <w:t>– 10.45</w:t>
            </w:r>
          </w:p>
          <w:p w:rsidR="0029416A" w:rsidRDefault="0029416A" w:rsidP="009B56E0"/>
        </w:tc>
        <w:tc>
          <w:tcPr>
            <w:tcW w:w="7938" w:type="dxa"/>
          </w:tcPr>
          <w:p w:rsidR="0029416A" w:rsidRPr="007B5833" w:rsidRDefault="0029416A" w:rsidP="007B5833">
            <w:pPr>
              <w:rPr>
                <w:b/>
                <w:color w:val="FF0000"/>
              </w:rPr>
            </w:pPr>
            <w:r>
              <w:rPr>
                <w:b/>
              </w:rPr>
              <w:t>Grand témoin</w:t>
            </w:r>
            <w:r w:rsidR="007B5833">
              <w:rPr>
                <w:b/>
                <w:color w:val="FF0000"/>
              </w:rPr>
              <w:t xml:space="preserve"> : </w:t>
            </w:r>
            <w:r w:rsidRPr="007B5833">
              <w:rPr>
                <w:b/>
              </w:rPr>
              <w:t xml:space="preserve">Bernard </w:t>
            </w:r>
            <w:r w:rsidR="00E4002F" w:rsidRPr="007B5833">
              <w:rPr>
                <w:b/>
              </w:rPr>
              <w:t>PECQUEUR</w:t>
            </w:r>
            <w:r w:rsidRPr="007B5833">
              <w:rPr>
                <w:b/>
              </w:rPr>
              <w:t xml:space="preserve">, </w:t>
            </w:r>
            <w:r w:rsidR="00D17C15" w:rsidRPr="007B5833">
              <w:rPr>
                <w:b/>
              </w:rPr>
              <w:t xml:space="preserve">spécialiste du développement territorial - </w:t>
            </w:r>
            <w:r w:rsidR="00D17C15" w:rsidRPr="007B5833">
              <w:rPr>
                <w:rStyle w:val="lev"/>
                <w:rFonts w:cs="Helvetica"/>
                <w:bdr w:val="none" w:sz="0" w:space="0" w:color="auto" w:frame="1"/>
                <w:shd w:val="clear" w:color="auto" w:fill="FFFFFF"/>
              </w:rPr>
              <w:t>Professeur à l’Université Grenoble</w:t>
            </w:r>
            <w:r w:rsidR="00F61846" w:rsidRPr="007B5833">
              <w:rPr>
                <w:rStyle w:val="lev"/>
                <w:rFonts w:cs="Helvetica"/>
                <w:bdr w:val="none" w:sz="0" w:space="0" w:color="auto" w:frame="1"/>
                <w:shd w:val="clear" w:color="auto" w:fill="FFFFFF"/>
              </w:rPr>
              <w:t xml:space="preserve"> Alpes</w:t>
            </w:r>
            <w:r w:rsidR="00D17C15" w:rsidRPr="007B5833">
              <w:rPr>
                <w:rStyle w:val="lev"/>
                <w:rFonts w:cs="Helvetica"/>
                <w:bdr w:val="none" w:sz="0" w:space="0" w:color="auto" w:frame="1"/>
                <w:shd w:val="clear" w:color="auto" w:fill="FFFFFF"/>
              </w:rPr>
              <w:t>.</w:t>
            </w:r>
          </w:p>
          <w:p w:rsidR="0029416A" w:rsidRDefault="00C13625" w:rsidP="007B5833">
            <w:pPr>
              <w:pStyle w:val="Paragraphedeliste"/>
              <w:numPr>
                <w:ilvl w:val="0"/>
                <w:numId w:val="5"/>
              </w:numPr>
            </w:pPr>
            <w:r>
              <w:t>« </w:t>
            </w:r>
            <w:r w:rsidR="0029416A" w:rsidRPr="00D17C15">
              <w:t xml:space="preserve">De l’urgence de </w:t>
            </w:r>
            <w:proofErr w:type="spellStart"/>
            <w:r w:rsidR="00D15174">
              <w:t>re</w:t>
            </w:r>
            <w:r w:rsidR="00EB6A07" w:rsidRPr="00D17C15">
              <w:t>territorialiser</w:t>
            </w:r>
            <w:proofErr w:type="spellEnd"/>
            <w:r w:rsidR="0029416A" w:rsidRPr="00D17C15">
              <w:t xml:space="preserve"> l’économie</w:t>
            </w:r>
            <w:r>
              <w:t> »</w:t>
            </w:r>
          </w:p>
          <w:p w:rsidR="001E0A9D" w:rsidRPr="0044091B" w:rsidRDefault="0044091B" w:rsidP="001E0A9D">
            <w:r>
              <w:rPr>
                <w:b/>
                <w:bCs/>
              </w:rPr>
              <w:t>E</w:t>
            </w:r>
            <w:r w:rsidR="001E0A9D" w:rsidRPr="0044091B">
              <w:t xml:space="preserve">conomiste et aménageur qui travaille depuis trente ans sur la dynamique des territoires. Il a eu une expérience de terrain (assistant parlementaire 1981-1983 et élu à la ville de Grenoble et à la Metro, 1995-2001). Il a publié de nombreux articles et ouvrages sur le développement territorial dont notamment : E. </w:t>
            </w:r>
            <w:proofErr w:type="spellStart"/>
            <w:r w:rsidR="001E0A9D" w:rsidRPr="0044091B">
              <w:t>Glon</w:t>
            </w:r>
            <w:proofErr w:type="spellEnd"/>
            <w:r w:rsidR="001E0A9D" w:rsidRPr="0044091B">
              <w:t xml:space="preserve"> et </w:t>
            </w:r>
            <w:proofErr w:type="spellStart"/>
            <w:proofErr w:type="gramStart"/>
            <w:r w:rsidR="001E0A9D" w:rsidRPr="0044091B">
              <w:t>B.Pecqueur</w:t>
            </w:r>
            <w:proofErr w:type="spellEnd"/>
            <w:proofErr w:type="gramEnd"/>
            <w:r w:rsidR="001E0A9D" w:rsidRPr="0044091B">
              <w:t xml:space="preserve"> (</w:t>
            </w:r>
            <w:proofErr w:type="spellStart"/>
            <w:r w:rsidR="001E0A9D" w:rsidRPr="0044091B">
              <w:t>dirs</w:t>
            </w:r>
            <w:proofErr w:type="spellEnd"/>
            <w:r w:rsidR="001E0A9D" w:rsidRPr="0044091B">
              <w:t xml:space="preserve">.), </w:t>
            </w:r>
            <w:r w:rsidR="001E0A9D" w:rsidRPr="0044091B">
              <w:rPr>
                <w:i/>
                <w:iCs/>
              </w:rPr>
              <w:t>Au cœur des territoires créatifs, proximités et ressources territoriales</w:t>
            </w:r>
            <w:r w:rsidR="00C739AB" w:rsidRPr="0044091B">
              <w:t xml:space="preserve">, éd. </w:t>
            </w:r>
            <w:r w:rsidR="001E0A9D" w:rsidRPr="0044091B">
              <w:t>Presses Universitaires de Rennes, juin 2016</w:t>
            </w:r>
          </w:p>
          <w:p w:rsidR="0029416A" w:rsidRDefault="0029416A" w:rsidP="009B56E0"/>
        </w:tc>
      </w:tr>
      <w:tr w:rsidR="0044091B" w:rsidTr="0029416A">
        <w:tc>
          <w:tcPr>
            <w:tcW w:w="1809" w:type="dxa"/>
          </w:tcPr>
          <w:p w:rsidR="0044091B" w:rsidRDefault="0044091B" w:rsidP="0029416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10.45 – 10.50</w:t>
            </w:r>
          </w:p>
        </w:tc>
        <w:tc>
          <w:tcPr>
            <w:tcW w:w="7938" w:type="dxa"/>
          </w:tcPr>
          <w:p w:rsidR="0044091B" w:rsidRDefault="00E3389E" w:rsidP="00E3389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Réaction</w:t>
            </w:r>
            <w:r w:rsidR="0044091B">
              <w:rPr>
                <w:b/>
              </w:rPr>
              <w:t xml:space="preserve"> de Jean Girardon, </w:t>
            </w:r>
            <w:r w:rsidR="0044091B" w:rsidRPr="0044091B">
              <w:rPr>
                <w:b/>
              </w:rPr>
              <w:t>Président de la commission développement économique</w:t>
            </w:r>
            <w:r w:rsidR="0044091B">
              <w:rPr>
                <w:b/>
              </w:rPr>
              <w:t xml:space="preserve"> de l’AMF</w:t>
            </w:r>
            <w:bookmarkStart w:id="0" w:name="_GoBack"/>
            <w:bookmarkEnd w:id="0"/>
          </w:p>
        </w:tc>
      </w:tr>
      <w:tr w:rsidR="0029416A" w:rsidTr="0029416A">
        <w:tc>
          <w:tcPr>
            <w:tcW w:w="1809" w:type="dxa"/>
          </w:tcPr>
          <w:p w:rsidR="0029416A" w:rsidRDefault="0029416A" w:rsidP="0029416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10.</w:t>
            </w:r>
            <w:r w:rsidR="0044091B">
              <w:rPr>
                <w:b/>
              </w:rPr>
              <w:t>50</w:t>
            </w:r>
            <w:r>
              <w:rPr>
                <w:b/>
              </w:rPr>
              <w:t xml:space="preserve"> – 12.</w:t>
            </w:r>
            <w:r w:rsidR="0044091B">
              <w:rPr>
                <w:b/>
              </w:rPr>
              <w:t>30</w:t>
            </w:r>
          </w:p>
          <w:p w:rsidR="0029416A" w:rsidRDefault="0029416A" w:rsidP="009B56E0"/>
        </w:tc>
        <w:tc>
          <w:tcPr>
            <w:tcW w:w="7938" w:type="dxa"/>
          </w:tcPr>
          <w:p w:rsidR="005976BB" w:rsidRDefault="00D17C15" w:rsidP="005976B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Table ronde 1 </w:t>
            </w:r>
            <w:r w:rsidR="005976BB">
              <w:rPr>
                <w:b/>
              </w:rPr>
              <w:t xml:space="preserve">– </w:t>
            </w:r>
            <w:r w:rsidR="00271DA9">
              <w:rPr>
                <w:b/>
              </w:rPr>
              <w:t>Comment les collectivités peuvent impulser ou favoriser l’émergence de projets citoyens de transition énergétique locale ?</w:t>
            </w:r>
            <w:r w:rsidR="005976BB">
              <w:rPr>
                <w:b/>
              </w:rPr>
              <w:t xml:space="preserve"> </w:t>
            </w:r>
          </w:p>
          <w:p w:rsidR="008D505B" w:rsidRPr="008A7235" w:rsidRDefault="00C13625" w:rsidP="008D505B">
            <w:pPr>
              <w:spacing w:after="160" w:line="259" w:lineRule="auto"/>
              <w:rPr>
                <w:b/>
                <w:i/>
              </w:rPr>
            </w:pPr>
            <w:r w:rsidRPr="008A7235">
              <w:rPr>
                <w:b/>
                <w:i/>
              </w:rPr>
              <w:t>Trois</w:t>
            </w:r>
            <w:r w:rsidR="0005631F" w:rsidRPr="008A7235">
              <w:rPr>
                <w:b/>
                <w:i/>
              </w:rPr>
              <w:t xml:space="preserve"> exemples</w:t>
            </w:r>
            <w:r w:rsidR="00A54FF3" w:rsidRPr="008A7235">
              <w:rPr>
                <w:b/>
                <w:i/>
              </w:rPr>
              <w:t xml:space="preserve">, avec regard croisé collectivités et </w:t>
            </w:r>
            <w:r w:rsidR="0005631F" w:rsidRPr="008A7235">
              <w:rPr>
                <w:b/>
                <w:i/>
              </w:rPr>
              <w:t>porteurs de proj</w:t>
            </w:r>
            <w:r w:rsidR="00E21C30" w:rsidRPr="008A7235">
              <w:rPr>
                <w:b/>
                <w:i/>
              </w:rPr>
              <w:t>et</w:t>
            </w:r>
          </w:p>
          <w:p w:rsidR="008A7235" w:rsidRDefault="008A7235" w:rsidP="008A7235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>Ga</w:t>
            </w:r>
            <w:r w:rsidR="007B5833">
              <w:t>ë</w:t>
            </w:r>
            <w:r>
              <w:t xml:space="preserve">l LOUESDON, ancien vice-président </w:t>
            </w:r>
            <w:r w:rsidR="006168E9">
              <w:t xml:space="preserve">développement durable </w:t>
            </w:r>
            <w:r>
              <w:t>de Plaine Sud de Caen qui a accompagné la création de la</w:t>
            </w:r>
            <w:r w:rsidRPr="00C13625">
              <w:t xml:space="preserve"> SCIC </w:t>
            </w:r>
            <w:r w:rsidRPr="00CA3F8C">
              <w:rPr>
                <w:i/>
              </w:rPr>
              <w:t>Plaine Sud énergie</w:t>
            </w:r>
            <w:r w:rsidR="006168E9">
              <w:rPr>
                <w:i/>
              </w:rPr>
              <w:t>s</w:t>
            </w:r>
            <w:r w:rsidRPr="00CA3F8C">
              <w:rPr>
                <w:i/>
              </w:rPr>
              <w:t xml:space="preserve"> </w:t>
            </w:r>
          </w:p>
          <w:p w:rsidR="008A7235" w:rsidRDefault="008A7235" w:rsidP="008A7235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4C2B7E">
              <w:t xml:space="preserve">Laurent </w:t>
            </w:r>
            <w:r>
              <w:t>TONNERRE</w:t>
            </w:r>
            <w:r w:rsidRPr="004C2B7E">
              <w:t>, adjoint au Maire de Lorient en charge de l’environnement et de la transition énergétique.</w:t>
            </w:r>
            <w:r>
              <w:t xml:space="preserve"> Quel financemen</w:t>
            </w:r>
            <w:r w:rsidRPr="004C2B7E">
              <w:t xml:space="preserve">t participatif </w:t>
            </w:r>
            <w:r>
              <w:t>pour permettre</w:t>
            </w:r>
            <w:r w:rsidRPr="004C2B7E">
              <w:t xml:space="preserve"> aux citoyens de devenir propriétaires de panneaux solaires photovo</w:t>
            </w:r>
            <w:r w:rsidR="00F50769">
              <w:t>ltaïques</w:t>
            </w:r>
            <w:r>
              <w:t xml:space="preserve"> afin d'alimenter le</w:t>
            </w:r>
            <w:r w:rsidRPr="004C2B7E">
              <w:t>s bâtiments publics</w:t>
            </w:r>
            <w:r w:rsidR="0044091B">
              <w:t> ?</w:t>
            </w:r>
          </w:p>
          <w:p w:rsidR="00C739AB" w:rsidRDefault="008A7235" w:rsidP="00C739AB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 xml:space="preserve">Claudette </w:t>
            </w:r>
            <w:r w:rsidR="0044091B">
              <w:t>LACOMBE, p</w:t>
            </w:r>
            <w:r>
              <w:t>résidente d’ISAC Watts</w:t>
            </w:r>
            <w:r w:rsidR="007B5833">
              <w:t xml:space="preserve"> : </w:t>
            </w:r>
            <w:r>
              <w:t>le parc éolien de Séverac-</w:t>
            </w:r>
            <w:proofErr w:type="spellStart"/>
            <w:r>
              <w:t>Guenrouët</w:t>
            </w:r>
            <w:proofErr w:type="spellEnd"/>
            <w:r>
              <w:t xml:space="preserve"> </w:t>
            </w:r>
          </w:p>
          <w:p w:rsidR="0044091B" w:rsidRPr="0044091B" w:rsidRDefault="0044091B" w:rsidP="0044091B">
            <w:pPr>
              <w:spacing w:after="160" w:line="259" w:lineRule="auto"/>
              <w:jc w:val="both"/>
              <w:rPr>
                <w:i/>
              </w:rPr>
            </w:pPr>
            <w:r w:rsidRPr="0044091B">
              <w:rPr>
                <w:i/>
              </w:rPr>
              <w:t xml:space="preserve">Animation : Patrick </w:t>
            </w:r>
            <w:r>
              <w:rPr>
                <w:i/>
              </w:rPr>
              <w:t>GEZE</w:t>
            </w:r>
            <w:r w:rsidRPr="0044091B">
              <w:rPr>
                <w:i/>
              </w:rPr>
              <w:t>, Labo ESS</w:t>
            </w:r>
          </w:p>
        </w:tc>
      </w:tr>
      <w:tr w:rsidR="0029416A" w:rsidTr="008924DA">
        <w:tc>
          <w:tcPr>
            <w:tcW w:w="1809" w:type="dxa"/>
            <w:shd w:val="clear" w:color="auto" w:fill="B8CCE4" w:themeFill="accent1" w:themeFillTint="66"/>
          </w:tcPr>
          <w:p w:rsidR="0029416A" w:rsidRPr="0044091B" w:rsidRDefault="0029416A" w:rsidP="0044091B">
            <w:r w:rsidRPr="0044091B">
              <w:t>12.</w:t>
            </w:r>
            <w:r w:rsidR="0044091B" w:rsidRPr="0044091B">
              <w:t>30</w:t>
            </w:r>
            <w:r w:rsidRPr="0044091B">
              <w:t xml:space="preserve"> – 13.</w:t>
            </w:r>
            <w:r w:rsidR="0044091B" w:rsidRPr="0044091B">
              <w:t>30</w:t>
            </w:r>
          </w:p>
        </w:tc>
        <w:tc>
          <w:tcPr>
            <w:tcW w:w="7938" w:type="dxa"/>
            <w:shd w:val="clear" w:color="auto" w:fill="B8CCE4" w:themeFill="accent1" w:themeFillTint="66"/>
          </w:tcPr>
          <w:p w:rsidR="0029416A" w:rsidRPr="0044091B" w:rsidRDefault="0029416A" w:rsidP="009B56E0">
            <w:r w:rsidRPr="0044091B">
              <w:t>Pause déjeuner</w:t>
            </w:r>
          </w:p>
          <w:p w:rsidR="00C739AB" w:rsidRPr="0044091B" w:rsidRDefault="00C739AB" w:rsidP="009B56E0"/>
          <w:p w:rsidR="00E21C30" w:rsidRPr="0044091B" w:rsidRDefault="00E21C30" w:rsidP="009B56E0"/>
        </w:tc>
      </w:tr>
      <w:tr w:rsidR="0029416A" w:rsidTr="0029416A">
        <w:tc>
          <w:tcPr>
            <w:tcW w:w="1809" w:type="dxa"/>
          </w:tcPr>
          <w:p w:rsidR="0029416A" w:rsidRPr="008924DA" w:rsidRDefault="0029416A" w:rsidP="0029416A">
            <w:pPr>
              <w:rPr>
                <w:b/>
              </w:rPr>
            </w:pPr>
            <w:r w:rsidRPr="008924DA">
              <w:rPr>
                <w:b/>
              </w:rPr>
              <w:t>13.</w:t>
            </w:r>
            <w:r w:rsidR="0044091B">
              <w:rPr>
                <w:b/>
              </w:rPr>
              <w:t>30</w:t>
            </w:r>
            <w:r w:rsidRPr="008924DA">
              <w:rPr>
                <w:b/>
              </w:rPr>
              <w:t xml:space="preserve"> – 1</w:t>
            </w:r>
            <w:r w:rsidR="008A7235">
              <w:rPr>
                <w:b/>
              </w:rPr>
              <w:t>4</w:t>
            </w:r>
            <w:r w:rsidRPr="008924DA">
              <w:rPr>
                <w:b/>
              </w:rPr>
              <w:t>.</w:t>
            </w:r>
            <w:r w:rsidR="008A7235">
              <w:rPr>
                <w:b/>
              </w:rPr>
              <w:t>45</w:t>
            </w:r>
          </w:p>
          <w:p w:rsidR="0029416A" w:rsidRDefault="0029416A" w:rsidP="009B56E0"/>
        </w:tc>
        <w:tc>
          <w:tcPr>
            <w:tcW w:w="7938" w:type="dxa"/>
          </w:tcPr>
          <w:p w:rsidR="00271DA9" w:rsidRDefault="005976BB" w:rsidP="00271DA9">
            <w:pPr>
              <w:spacing w:after="160" w:line="256" w:lineRule="auto"/>
              <w:rPr>
                <w:b/>
                <w:bCs/>
              </w:rPr>
            </w:pPr>
            <w:r>
              <w:rPr>
                <w:b/>
              </w:rPr>
              <w:t xml:space="preserve">Table ronde 2  - </w:t>
            </w:r>
            <w:r w:rsidR="00271DA9">
              <w:rPr>
                <w:b/>
                <w:bCs/>
              </w:rPr>
              <w:t xml:space="preserve">Les leviers dont disposent les collectivités pour promouvoir une dimension coopérative de la transition énergétique </w:t>
            </w:r>
          </w:p>
          <w:p w:rsidR="008A7235" w:rsidRPr="008F3CE5" w:rsidRDefault="008A7235" w:rsidP="008A7235">
            <w:pPr>
              <w:pStyle w:val="Paragraphedeliste"/>
              <w:numPr>
                <w:ilvl w:val="0"/>
                <w:numId w:val="4"/>
              </w:numPr>
              <w:spacing w:before="120"/>
              <w:ind w:left="714" w:hanging="357"/>
              <w:contextualSpacing w:val="0"/>
              <w:jc w:val="both"/>
            </w:pPr>
            <w:r>
              <w:t>Stéphane BALY, conseiller municipal en charge de l’énergie, Ville de Lille : l</w:t>
            </w:r>
            <w:r w:rsidRPr="008F3CE5">
              <w:t xml:space="preserve">e levier des </w:t>
            </w:r>
            <w:r>
              <w:t>marchés publics : exemple d’un marché à procédure adaptée avec ENERCOOP</w:t>
            </w:r>
          </w:p>
          <w:p w:rsidR="004A6242" w:rsidRPr="0044091B" w:rsidRDefault="008A7235" w:rsidP="008A7235">
            <w:pPr>
              <w:pStyle w:val="Paragraphedeliste"/>
              <w:numPr>
                <w:ilvl w:val="0"/>
                <w:numId w:val="4"/>
              </w:numPr>
              <w:rPr>
                <w:rStyle w:val="lev"/>
                <w:b w:val="0"/>
                <w:bCs w:val="0"/>
              </w:rPr>
            </w:pPr>
            <w:r>
              <w:t>Jacques FAIVRE, directeur général de l</w:t>
            </w:r>
            <w:r w:rsidRPr="008F3CE5">
              <w:t>a SCIC SAVECOM - Ville de Com</w:t>
            </w:r>
            <w:r>
              <w:t>m</w:t>
            </w:r>
            <w:r w:rsidRPr="008F3CE5">
              <w:t>ercy (55</w:t>
            </w:r>
            <w:r>
              <w:t xml:space="preserve">) et élu accompagnant la démarche : </w:t>
            </w:r>
            <w:r w:rsidRPr="008F3CE5">
              <w:rPr>
                <w:rStyle w:val="lev"/>
                <w:rFonts w:cs="Arial"/>
                <w:b w:val="0"/>
                <w:color w:val="000000"/>
                <w:bdr w:val="none" w:sz="0" w:space="0" w:color="auto" w:frame="1"/>
              </w:rPr>
              <w:t>dynamique de territoire autour de la problématique de l'économie d'énergie dans le logement</w:t>
            </w:r>
          </w:p>
          <w:p w:rsidR="0044091B" w:rsidRDefault="0044091B" w:rsidP="0044091B">
            <w:pPr>
              <w:rPr>
                <w:rStyle w:val="lev"/>
                <w:b w:val="0"/>
                <w:bCs w:val="0"/>
              </w:rPr>
            </w:pPr>
          </w:p>
          <w:p w:rsidR="0044091B" w:rsidRPr="0044091B" w:rsidRDefault="0044091B" w:rsidP="0044091B">
            <w:pPr>
              <w:rPr>
                <w:rStyle w:val="lev"/>
                <w:b w:val="0"/>
                <w:bCs w:val="0"/>
                <w:i/>
              </w:rPr>
            </w:pPr>
            <w:r w:rsidRPr="0044091B">
              <w:rPr>
                <w:rStyle w:val="lev"/>
                <w:b w:val="0"/>
                <w:bCs w:val="0"/>
                <w:i/>
              </w:rPr>
              <w:t xml:space="preserve">Animation : Patricia </w:t>
            </w:r>
            <w:r>
              <w:rPr>
                <w:rStyle w:val="lev"/>
                <w:b w:val="0"/>
                <w:bCs w:val="0"/>
                <w:i/>
              </w:rPr>
              <w:t>ANDRIOT</w:t>
            </w:r>
            <w:r w:rsidRPr="0044091B">
              <w:rPr>
                <w:rStyle w:val="lev"/>
                <w:b w:val="0"/>
                <w:bCs w:val="0"/>
                <w:i/>
              </w:rPr>
              <w:t>, Vice-Présidente du RTES</w:t>
            </w:r>
          </w:p>
          <w:p w:rsidR="008A7235" w:rsidRDefault="008A7235" w:rsidP="008A7235">
            <w:pPr>
              <w:pStyle w:val="Paragraphedeliste"/>
            </w:pPr>
          </w:p>
        </w:tc>
      </w:tr>
      <w:tr w:rsidR="008A7235" w:rsidTr="0029416A">
        <w:tc>
          <w:tcPr>
            <w:tcW w:w="1809" w:type="dxa"/>
          </w:tcPr>
          <w:p w:rsidR="008A7235" w:rsidRPr="008924DA" w:rsidRDefault="008A7235" w:rsidP="0029416A">
            <w:pPr>
              <w:rPr>
                <w:b/>
              </w:rPr>
            </w:pPr>
            <w:r>
              <w:rPr>
                <w:b/>
              </w:rPr>
              <w:t>14.45 – 15.00</w:t>
            </w:r>
          </w:p>
        </w:tc>
        <w:tc>
          <w:tcPr>
            <w:tcW w:w="7938" w:type="dxa"/>
          </w:tcPr>
          <w:p w:rsidR="008A7235" w:rsidRDefault="008A7235" w:rsidP="00271DA9">
            <w:pPr>
              <w:spacing w:after="160" w:line="256" w:lineRule="auto"/>
              <w:rPr>
                <w:b/>
              </w:rPr>
            </w:pPr>
            <w:r>
              <w:rPr>
                <w:b/>
              </w:rPr>
              <w:t>Synthèse et perspectives </w:t>
            </w:r>
            <w:r w:rsidRPr="008A7235">
              <w:t>: Bernard PECQUEUR et Christiane BOUCHART</w:t>
            </w:r>
          </w:p>
        </w:tc>
      </w:tr>
    </w:tbl>
    <w:p w:rsidR="00A92DC6" w:rsidRDefault="00A92DC6" w:rsidP="009B56E0"/>
    <w:p w:rsidR="008A48A0" w:rsidRPr="007B5833" w:rsidRDefault="008A7235" w:rsidP="009B56E0">
      <w:pPr>
        <w:rPr>
          <w:b/>
          <w:sz w:val="24"/>
        </w:rPr>
      </w:pPr>
      <w:r w:rsidRPr="007B5833">
        <w:rPr>
          <w:b/>
          <w:sz w:val="24"/>
        </w:rPr>
        <w:t>La rencontre sera suivie d’une conférence de 15.</w:t>
      </w:r>
      <w:r w:rsidR="0044091B">
        <w:rPr>
          <w:b/>
          <w:sz w:val="24"/>
        </w:rPr>
        <w:t>15</w:t>
      </w:r>
      <w:r w:rsidR="0007200D" w:rsidRPr="007B5833">
        <w:rPr>
          <w:b/>
          <w:sz w:val="24"/>
        </w:rPr>
        <w:t xml:space="preserve"> à 16.</w:t>
      </w:r>
      <w:r w:rsidR="0044091B">
        <w:rPr>
          <w:b/>
          <w:sz w:val="24"/>
        </w:rPr>
        <w:t>15</w:t>
      </w:r>
      <w:r w:rsidR="0007200D" w:rsidRPr="007B5833">
        <w:rPr>
          <w:b/>
          <w:sz w:val="24"/>
        </w:rPr>
        <w:t xml:space="preserve"> avec P</w:t>
      </w:r>
      <w:r w:rsidRPr="007B5833">
        <w:rPr>
          <w:b/>
          <w:sz w:val="24"/>
        </w:rPr>
        <w:t xml:space="preserve">ascal CANFIN, directeur </w:t>
      </w:r>
      <w:r w:rsidR="00724644" w:rsidRPr="007B5833">
        <w:rPr>
          <w:b/>
          <w:sz w:val="24"/>
        </w:rPr>
        <w:t xml:space="preserve">général </w:t>
      </w:r>
      <w:r w:rsidRPr="007B5833">
        <w:rPr>
          <w:b/>
          <w:sz w:val="24"/>
        </w:rPr>
        <w:t>du WWF France </w:t>
      </w:r>
      <w:r w:rsidR="0044091B">
        <w:rPr>
          <w:b/>
          <w:sz w:val="24"/>
        </w:rPr>
        <w:t>sur le thème :</w:t>
      </w:r>
      <w:r w:rsidRPr="007B5833">
        <w:rPr>
          <w:b/>
          <w:sz w:val="24"/>
        </w:rPr>
        <w:t xml:space="preserve"> </w:t>
      </w:r>
      <w:r w:rsidR="0044091B">
        <w:rPr>
          <w:b/>
          <w:sz w:val="24"/>
        </w:rPr>
        <w:t>« </w:t>
      </w:r>
      <w:r w:rsidRPr="007B5833">
        <w:rPr>
          <w:b/>
          <w:sz w:val="24"/>
        </w:rPr>
        <w:t>La COP21 et après ?</w:t>
      </w:r>
      <w:r w:rsidR="0044091B">
        <w:rPr>
          <w:b/>
          <w:sz w:val="24"/>
        </w:rPr>
        <w:t> »</w:t>
      </w:r>
    </w:p>
    <w:p w:rsidR="00E34D8D" w:rsidRPr="008A7235" w:rsidRDefault="00E34D8D" w:rsidP="009B56E0">
      <w:pPr>
        <w:rPr>
          <w:b/>
          <w:sz w:val="28"/>
        </w:rPr>
      </w:pPr>
    </w:p>
    <w:p w:rsidR="008A48A0" w:rsidRDefault="008A48A0" w:rsidP="009B56E0"/>
    <w:p w:rsidR="008A48A0" w:rsidRDefault="008A48A0" w:rsidP="00B365C5">
      <w:pPr>
        <w:rPr>
          <w:b/>
        </w:rPr>
      </w:pPr>
      <w:r w:rsidRPr="008A48A0">
        <w:rPr>
          <w:b/>
        </w:rPr>
        <w:t xml:space="preserve">* Collectivités membres </w:t>
      </w:r>
      <w:r w:rsidR="000A382D">
        <w:rPr>
          <w:b/>
        </w:rPr>
        <w:t xml:space="preserve">communs </w:t>
      </w:r>
      <w:r w:rsidRPr="008A48A0">
        <w:rPr>
          <w:b/>
        </w:rPr>
        <w:t>du RTES et d’Energy Cities</w:t>
      </w:r>
      <w:r w:rsidR="004E6C5F">
        <w:rPr>
          <w:b/>
        </w:rPr>
        <w:t> :</w:t>
      </w:r>
    </w:p>
    <w:p w:rsidR="003D34B1" w:rsidRDefault="003D34B1" w:rsidP="00B365C5">
      <w:pPr>
        <w:rPr>
          <w:b/>
        </w:rPr>
        <w:sectPr w:rsidR="003D34B1" w:rsidSect="004C2B7E">
          <w:pgSz w:w="11906" w:h="16838" w:code="9"/>
          <w:pgMar w:top="851" w:right="1134" w:bottom="567" w:left="1134" w:header="709" w:footer="709" w:gutter="0"/>
          <w:cols w:space="708"/>
          <w:docGrid w:linePitch="360"/>
        </w:sectPr>
      </w:pPr>
    </w:p>
    <w:p w:rsidR="00B365C5" w:rsidRPr="005976BB" w:rsidRDefault="00B365C5" w:rsidP="00B365C5">
      <w:pPr>
        <w:rPr>
          <w:sz w:val="8"/>
          <w:szCs w:val="8"/>
        </w:rPr>
      </w:pP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 xml:space="preserve">Artois </w:t>
      </w:r>
      <w:proofErr w:type="spellStart"/>
      <w:r>
        <w:t>Comm</w:t>
      </w:r>
      <w:proofErr w:type="spellEnd"/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Bordeaux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Bordeaux Métropole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Brest Métropole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Clermont communauté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Dunkerque Grand Littoral</w:t>
      </w:r>
    </w:p>
    <w:p w:rsidR="0007200D" w:rsidRDefault="00B365C5" w:rsidP="00140068">
      <w:pPr>
        <w:pStyle w:val="Paragraphedeliste"/>
        <w:numPr>
          <w:ilvl w:val="0"/>
          <w:numId w:val="3"/>
        </w:numPr>
      </w:pPr>
      <w:r w:rsidRPr="00FE3F2B">
        <w:t xml:space="preserve">Grand Dijon </w:t>
      </w:r>
    </w:p>
    <w:p w:rsidR="00B365C5" w:rsidRPr="00815E83" w:rsidRDefault="00B365C5" w:rsidP="00140068">
      <w:pPr>
        <w:pStyle w:val="Paragraphedeliste"/>
        <w:numPr>
          <w:ilvl w:val="0"/>
          <w:numId w:val="3"/>
        </w:numPr>
      </w:pPr>
      <w:r w:rsidRPr="00815E83">
        <w:t xml:space="preserve">Grand Lyon </w:t>
      </w:r>
    </w:p>
    <w:p w:rsidR="00B365C5" w:rsidRPr="00815E83" w:rsidRDefault="00B365C5" w:rsidP="005976BB">
      <w:pPr>
        <w:pStyle w:val="Paragraphedeliste"/>
        <w:numPr>
          <w:ilvl w:val="0"/>
          <w:numId w:val="3"/>
        </w:numPr>
      </w:pPr>
      <w:r w:rsidRPr="00815E83">
        <w:t>Grenoble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Grenoble Alpes Métropole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Lille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Lorient</w:t>
      </w:r>
    </w:p>
    <w:p w:rsidR="00C739AB" w:rsidRDefault="00C739AB" w:rsidP="00C739AB">
      <w:pPr>
        <w:pStyle w:val="Paragraphedeliste"/>
        <w:numPr>
          <w:ilvl w:val="0"/>
          <w:numId w:val="3"/>
        </w:numPr>
      </w:pPr>
      <w:r>
        <w:t>Lyon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Nanterre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Nantes Métropole</w:t>
      </w:r>
    </w:p>
    <w:p w:rsidR="008A48A0" w:rsidRDefault="00B365C5" w:rsidP="008A48A0">
      <w:pPr>
        <w:pStyle w:val="Paragraphedeliste"/>
        <w:numPr>
          <w:ilvl w:val="0"/>
          <w:numId w:val="3"/>
        </w:numPr>
      </w:pPr>
      <w:r>
        <w:t>Nevers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Pau Pyrénées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Plaine Commune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lastRenderedPageBreak/>
        <w:t>Rennes Métropole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Saint-Etienne Métropole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proofErr w:type="spellStart"/>
      <w:r>
        <w:t>Eurométropole</w:t>
      </w:r>
      <w:proofErr w:type="spellEnd"/>
      <w:r>
        <w:t xml:space="preserve"> de Strasbourg</w:t>
      </w:r>
    </w:p>
    <w:p w:rsidR="00B365C5" w:rsidRDefault="00B365C5" w:rsidP="008A48A0">
      <w:pPr>
        <w:pStyle w:val="Paragraphedeliste"/>
        <w:numPr>
          <w:ilvl w:val="0"/>
          <w:numId w:val="3"/>
        </w:numPr>
      </w:pPr>
      <w:r>
        <w:t>Toulouse Métropole</w:t>
      </w:r>
    </w:p>
    <w:p w:rsidR="00B365C5" w:rsidRDefault="00B365C5" w:rsidP="00B365C5">
      <w:pPr>
        <w:pStyle w:val="Paragraphedeliste"/>
        <w:numPr>
          <w:ilvl w:val="0"/>
          <w:numId w:val="3"/>
        </w:numPr>
      </w:pPr>
      <w:r>
        <w:t xml:space="preserve">Tours </w:t>
      </w:r>
      <w:r w:rsidR="008A48A0">
        <w:t xml:space="preserve">(Tours </w:t>
      </w:r>
      <w:r>
        <w:t>Plus pour Energy Cities)</w:t>
      </w:r>
    </w:p>
    <w:p w:rsidR="00B365C5" w:rsidRDefault="00B365C5" w:rsidP="005976BB">
      <w:pPr>
        <w:pStyle w:val="Paragraphedeliste"/>
        <w:numPr>
          <w:ilvl w:val="0"/>
          <w:numId w:val="3"/>
        </w:numPr>
      </w:pPr>
      <w:r>
        <w:t>Région Bourgogne-France Comté</w:t>
      </w:r>
    </w:p>
    <w:p w:rsidR="00527D81" w:rsidRDefault="00B365C5" w:rsidP="004C2B7E">
      <w:pPr>
        <w:pStyle w:val="Paragraphedeliste"/>
        <w:numPr>
          <w:ilvl w:val="0"/>
          <w:numId w:val="3"/>
        </w:numPr>
      </w:pPr>
      <w:r>
        <w:t>Conseil départemental de l’Essonne</w:t>
      </w:r>
    </w:p>
    <w:sectPr w:rsidR="00527D81" w:rsidSect="008A48A0">
      <w:type w:val="continuous"/>
      <w:pgSz w:w="11906" w:h="16838" w:code="9"/>
      <w:pgMar w:top="851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1CD"/>
    <w:multiLevelType w:val="hybridMultilevel"/>
    <w:tmpl w:val="0442D0E0"/>
    <w:lvl w:ilvl="0" w:tplc="72F0C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1A5D"/>
    <w:multiLevelType w:val="multilevel"/>
    <w:tmpl w:val="13D8B72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38739B"/>
    <w:multiLevelType w:val="hybridMultilevel"/>
    <w:tmpl w:val="AF3893FC"/>
    <w:lvl w:ilvl="0" w:tplc="92D6A3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1BCF"/>
    <w:multiLevelType w:val="hybridMultilevel"/>
    <w:tmpl w:val="21AE58DC"/>
    <w:lvl w:ilvl="0" w:tplc="08A26B7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05273"/>
    <w:multiLevelType w:val="hybridMultilevel"/>
    <w:tmpl w:val="C00C0B54"/>
    <w:lvl w:ilvl="0" w:tplc="CE8670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F4514"/>
    <w:multiLevelType w:val="hybridMultilevel"/>
    <w:tmpl w:val="9A7E6AFE"/>
    <w:lvl w:ilvl="0" w:tplc="92D6A35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6CF5"/>
    <w:multiLevelType w:val="hybridMultilevel"/>
    <w:tmpl w:val="392CDCAE"/>
    <w:lvl w:ilvl="0" w:tplc="7ED67A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01FE0"/>
    <w:multiLevelType w:val="hybridMultilevel"/>
    <w:tmpl w:val="8C10CBD4"/>
    <w:lvl w:ilvl="0" w:tplc="459CF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C6"/>
    <w:rsid w:val="00023AC0"/>
    <w:rsid w:val="0005631F"/>
    <w:rsid w:val="0007200D"/>
    <w:rsid w:val="000A382D"/>
    <w:rsid w:val="00104578"/>
    <w:rsid w:val="001060BC"/>
    <w:rsid w:val="001C323F"/>
    <w:rsid w:val="001E0A9D"/>
    <w:rsid w:val="001E4B45"/>
    <w:rsid w:val="001F44C7"/>
    <w:rsid w:val="00243248"/>
    <w:rsid w:val="00271DA9"/>
    <w:rsid w:val="0028482E"/>
    <w:rsid w:val="0029416A"/>
    <w:rsid w:val="002E4BD2"/>
    <w:rsid w:val="00332BF4"/>
    <w:rsid w:val="003342CE"/>
    <w:rsid w:val="003D34B1"/>
    <w:rsid w:val="0040500E"/>
    <w:rsid w:val="00435054"/>
    <w:rsid w:val="0044091B"/>
    <w:rsid w:val="004A6242"/>
    <w:rsid w:val="004C2B7E"/>
    <w:rsid w:val="004E6C5F"/>
    <w:rsid w:val="00527D81"/>
    <w:rsid w:val="00557DB5"/>
    <w:rsid w:val="005973F7"/>
    <w:rsid w:val="005976BB"/>
    <w:rsid w:val="006168E9"/>
    <w:rsid w:val="006224E9"/>
    <w:rsid w:val="006558DE"/>
    <w:rsid w:val="006723DB"/>
    <w:rsid w:val="006935F2"/>
    <w:rsid w:val="0070554D"/>
    <w:rsid w:val="00724644"/>
    <w:rsid w:val="00794DA5"/>
    <w:rsid w:val="007B00F3"/>
    <w:rsid w:val="007B5833"/>
    <w:rsid w:val="008924DA"/>
    <w:rsid w:val="008A48A0"/>
    <w:rsid w:val="008A7235"/>
    <w:rsid w:val="008D505B"/>
    <w:rsid w:val="008F3CE5"/>
    <w:rsid w:val="00944520"/>
    <w:rsid w:val="00962D58"/>
    <w:rsid w:val="009B56E0"/>
    <w:rsid w:val="009C2282"/>
    <w:rsid w:val="00A30FFF"/>
    <w:rsid w:val="00A43E38"/>
    <w:rsid w:val="00A54FF3"/>
    <w:rsid w:val="00A65BD9"/>
    <w:rsid w:val="00A92DC6"/>
    <w:rsid w:val="00AA7C52"/>
    <w:rsid w:val="00AD2FE8"/>
    <w:rsid w:val="00B365C5"/>
    <w:rsid w:val="00B7155A"/>
    <w:rsid w:val="00C13625"/>
    <w:rsid w:val="00C22B50"/>
    <w:rsid w:val="00C3556B"/>
    <w:rsid w:val="00C667F7"/>
    <w:rsid w:val="00C73618"/>
    <w:rsid w:val="00C739AB"/>
    <w:rsid w:val="00C86A1B"/>
    <w:rsid w:val="00CA3F8C"/>
    <w:rsid w:val="00D15174"/>
    <w:rsid w:val="00D17C15"/>
    <w:rsid w:val="00D272BC"/>
    <w:rsid w:val="00D50BFC"/>
    <w:rsid w:val="00D801B2"/>
    <w:rsid w:val="00DE0085"/>
    <w:rsid w:val="00E14215"/>
    <w:rsid w:val="00E14B2D"/>
    <w:rsid w:val="00E21C30"/>
    <w:rsid w:val="00E3389E"/>
    <w:rsid w:val="00E34D8D"/>
    <w:rsid w:val="00E4002F"/>
    <w:rsid w:val="00EB6A07"/>
    <w:rsid w:val="00F263B4"/>
    <w:rsid w:val="00F50769"/>
    <w:rsid w:val="00F61846"/>
    <w:rsid w:val="00FA3217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EC77"/>
  <w15:docId w15:val="{994DC3E2-1809-4703-A220-4DADF252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D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17C15"/>
    <w:rPr>
      <w:b/>
      <w:bCs/>
    </w:rPr>
  </w:style>
  <w:style w:type="character" w:styleId="Lienhypertexte">
    <w:name w:val="Hyperlink"/>
    <w:basedOn w:val="Policepardfaut"/>
    <w:uiPriority w:val="99"/>
    <w:unhideWhenUsed/>
    <w:rsid w:val="00E21C3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2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50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lmot">
    <w:name w:val="gl_mot"/>
    <w:basedOn w:val="Policepardfaut"/>
    <w:rsid w:val="008D505B"/>
  </w:style>
  <w:style w:type="character" w:customStyle="1" w:styleId="apple-converted-space">
    <w:name w:val="apple-converted-space"/>
    <w:basedOn w:val="Policepardfaut"/>
    <w:rsid w:val="00CA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56CF-C1D2-468C-8B18-33F64A10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Lacassagne</dc:creator>
  <cp:lastModifiedBy>Sylvie Lacassagne</cp:lastModifiedBy>
  <cp:revision>5</cp:revision>
  <cp:lastPrinted>2016-06-06T10:56:00Z</cp:lastPrinted>
  <dcterms:created xsi:type="dcterms:W3CDTF">2016-05-30T15:08:00Z</dcterms:created>
  <dcterms:modified xsi:type="dcterms:W3CDTF">2016-06-07T13:26:00Z</dcterms:modified>
</cp:coreProperties>
</file>