
<file path=[Content_Types].xml><?xml version="1.0" encoding="utf-8"?>
<Types xmlns="http://schemas.openxmlformats.org/package/2006/content-types">
  <Override PartName="/word/diagrams/colors15.xml" ContentType="application/vnd.openxmlformats-officedocument.drawingml.diagramColors+xml"/>
  <Override PartName="/word/diagrams/layout17.xml" ContentType="application/vnd.openxmlformats-officedocument.drawingml.diagramLayout+xml"/>
  <Override PartName="/word/charts/chart13.xml" ContentType="application/vnd.openxmlformats-officedocument.drawingml.chart+xml"/>
  <Override PartName="/word/diagrams/data11.xml" ContentType="application/vnd.openxmlformats-officedocument.drawingml.diagramData+xml"/>
  <Override PartName="/word/diagrams/drawing3.xml" ContentType="application/vnd.ms-office.drawingml.diagramDrawing+xml"/>
  <Override PartName="/word/charts/chart9.xml" ContentType="application/vnd.openxmlformats-officedocument.drawingml.chart+xml"/>
  <Override PartName="/word/diagrams/colors20.xml" ContentType="application/vnd.openxmlformats-officedocument.drawingml.diagramColors+xml"/>
  <Override PartName="/word/theme/themeOverride12.xml" ContentType="application/vnd.openxmlformats-officedocument.themeOverride+xml"/>
  <Override PartName="/word/diagrams/quickStyle11.xml" ContentType="application/vnd.openxmlformats-officedocument.drawingml.diagramStyle+xml"/>
  <Override PartName="/word/diagrams/colors5.xml" ContentType="application/vnd.openxmlformats-officedocument.drawingml.diagramColors+xml"/>
  <Override PartName="/word/diagrams/layout9.xml" ContentType="application/vnd.openxmlformats-officedocument.drawingml.diagramLayout+xml"/>
  <Override PartName="/word/diagrams/drawing14.xml" ContentType="application/vnd.ms-office.drawingml.diagramDrawing+xml"/>
  <Override PartName="/word/diagrams/data4.xml" ContentType="application/vnd.openxmlformats-officedocument.drawingml.diagramData+xml"/>
  <Default Extension="wmf" ContentType="image/x-wmf"/>
  <Override PartName="/word/diagrams/colors19.xml" ContentType="application/vnd.openxmlformats-officedocument.drawingml.diagramColors+xml"/>
  <Override PartName="/word/diagrams/layout10.xml" ContentType="application/vnd.openxmlformats-officedocument.drawingml.diagramLayout+xml"/>
  <Override PartName="/word/diagrams/data15.xml" ContentType="application/vnd.openxmlformats-officedocument.drawingml.diagramData+xml"/>
  <Override PartName="/word/footer1.xml" ContentType="application/vnd.openxmlformats-officedocument.wordprocessingml.footer+xml"/>
  <Override PartName="/word/charts/chart2.xml" ContentType="application/vnd.openxmlformats-officedocument.drawingml.chart+xml"/>
  <Override PartName="/word/theme/themeOverride16.xml" ContentType="application/vnd.openxmlformats-officedocument.themeOverride+xml"/>
  <Override PartName="/word/diagrams/quickStyle3.xml" ContentType="application/vnd.openxmlformats-officedocument.drawingml.diagramStyle+xml"/>
  <Override PartName="/word/diagrams/quickStyle15.xml" ContentType="application/vnd.openxmlformats-officedocument.drawingml.diagramStyle+xml"/>
  <Override PartName="/word/theme/themeOverride4.xml" ContentType="application/vnd.openxmlformats-officedocument.themeOverride+xml"/>
  <Override PartName="/word/diagrams/drawing9.xml" ContentType="application/vnd.ms-office.drawingml.diagramDrawing+xml"/>
  <Override PartName="/word/diagrams/colors9.xml" ContentType="application/vnd.openxmlformats-officedocument.drawingml.diagramColors+xml"/>
  <Override PartName="/word/diagrams/data8.xml" ContentType="application/vnd.openxmlformats-officedocument.drawingml.diagramData+xml"/>
  <Override PartName="/word/diagrams/drawing18.xml" ContentType="application/vnd.ms-office.drawingml.diagramDrawing+xml"/>
  <Override PartName="/word/diagrams/quickStyle20.xml" ContentType="application/vnd.openxmlformats-officedocument.drawingml.diagramStyle+xml"/>
  <Override PartName="/word/diagrams/layout2.xml" ContentType="application/vnd.openxmlformats-officedocument.drawingml.diagramLayout+xml"/>
  <Override PartName="/word/diagrams/layout14.xml" ContentType="application/vnd.openxmlformats-officedocument.drawingml.diagramLayout+xml"/>
  <Override PartName="/word/diagrams/colors12.xml" ContentType="application/vnd.openxmlformats-officedocument.drawingml.diagramColors+xml"/>
  <Override PartName="/word/webSettings.xml" ContentType="application/vnd.openxmlformats-officedocument.wordprocessingml.webSettings+xml"/>
  <Override PartName="/word/charts/chart6.xml" ContentType="application/vnd.openxmlformats-officedocument.drawingml.chart+xml"/>
  <Override PartName="/word/charts/chart10.xml" ContentType="application/vnd.openxmlformats-officedocument.drawingml.chart+xml"/>
  <Override PartName="/word/styles.xml" ContentType="application/vnd.openxmlformats-officedocument.wordprocessingml.styles+xml"/>
  <Override PartName="/word/diagrams/quickStyle7.xml" ContentType="application/vnd.openxmlformats-officedocument.drawingml.diagramStyle+xml"/>
  <Default Extension="gif" ContentType="image/gif"/>
  <Override PartName="/word/diagrams/quickStyle19.xml" ContentType="application/vnd.openxmlformats-officedocument.drawingml.diagramStyle+xml"/>
  <Override PartName="/word/theme/themeOverride8.xml" ContentType="application/vnd.openxmlformats-officedocument.themeOverride+xml"/>
  <Override PartName="/word/diagrams/drawing11.xml" ContentType="application/vnd.ms-office.drawingml.diagramDrawing+xml"/>
  <Override PartName="/word/diagrams/quickStyle9.xml" ContentType="application/vnd.openxmlformats-officedocument.drawingml.diagramStyle+xml"/>
  <Override PartName="/word/diagrams/layout6.xml" ContentType="application/vnd.openxmlformats-officedocument.drawingml.diagramLayout+xml"/>
  <Override PartName="/word/diagrams/data1.xml" ContentType="application/vnd.openxmlformats-officedocument.drawingml.diagramData+xml"/>
  <Override PartName="/word/diagrams/colors2.xml" ContentType="application/vnd.openxmlformats-officedocument.drawingml.diagramColors+xml"/>
  <Override PartName="/word/diagrams/colors16.xml" ContentType="application/vnd.openxmlformats-officedocument.drawingml.diagramColors+xml"/>
  <Override PartName="/word/charts/chart14.xml" ContentType="application/vnd.openxmlformats-officedocument.drawingml.chart+xml"/>
  <Override PartName="/word/diagrams/data12.xml" ContentType="application/vnd.openxmlformats-officedocument.drawingml.diagramData+xml"/>
  <Override PartName="/word/diagrams/drawing4.xml" ContentType="application/vnd.ms-office.drawingml.diagramDrawing+xml"/>
  <Override PartName="/word/diagrams/layout18.xml" ContentType="application/vnd.openxmlformats-officedocument.drawingml.diagramLayout+xml"/>
  <Override PartName="/word/theme/themeOverride13.xml" ContentType="application/vnd.openxmlformats-officedocument.themeOverride+xml"/>
  <Override PartName="/word/diagrams/quickStyle12.xml" ContentType="application/vnd.openxmlformats-officedocument.drawingml.diagramStyle+xml"/>
  <Override PartName="/word/theme/themeOverride1.xml" ContentType="application/vnd.openxmlformats-officedocument.themeOverride+xml"/>
  <Override PartName="/word/diagrams/colors6.xml" ContentType="application/vnd.openxmlformats-officedocument.drawingml.diagramColors+xml"/>
  <Override PartName="/word/diagrams/drawing15.xml" ContentType="application/vnd.ms-office.drawingml.diagramDrawing+xml"/>
  <Override PartName="/word/diagrams/data5.xml" ContentType="application/vnd.openxmlformats-officedocument.drawingml.diagramData+xml"/>
  <Override PartName="/word/diagrams/layout11.xml" ContentType="application/vnd.openxmlformats-officedocument.drawingml.diagramLayout+xml"/>
  <Override PartName="/word/diagrams/data16.xml" ContentType="application/vnd.openxmlformats-officedocument.drawingml.diagramData+xml"/>
  <Override PartName="/word/diagrams/drawing20.xml" ContentType="application/vnd.ms-office.drawingml.diagramDrawing+xml"/>
  <Override PartName="/word/footer2.xml" ContentType="application/vnd.openxmlformats-officedocument.wordprocessingml.footer+xml"/>
  <Override PartName="/word/charts/chart3.xml" ContentType="application/vnd.openxmlformats-officedocument.drawingml.chart+xml"/>
  <Override PartName="/word/diagrams/quickStyle4.xml" ContentType="application/vnd.openxmlformats-officedocument.drawingml.diagramStyle+xml"/>
  <Override PartName="/word/diagrams/quickStyle16.xml" ContentType="application/vnd.openxmlformats-officedocument.drawingml.diagramStyle+xml"/>
  <Override PartName="/word/diagrams/data18.xml" ContentType="application/vnd.openxmlformats-officedocument.drawingml.diagramData+xml"/>
  <Override PartName="/word/theme/themeOverride5.xml" ContentType="application/vnd.openxmlformats-officedocument.themeOverride+xml"/>
  <Override PartName="/word/diagrams/drawing19.xml" ContentType="application/vnd.ms-office.drawingml.diagramDrawing+xml"/>
  <Override PartName="/docProps/core.xml" ContentType="application/vnd.openxmlformats-package.core-properties+xml"/>
  <Override PartName="/word/document.xml" ContentType="application/vnd.openxmlformats-officedocument.wordprocessingml.document.main+xml"/>
  <Override PartName="/word/diagrams/data9.xml" ContentType="application/vnd.openxmlformats-officedocument.drawingml.diagramData+xml"/>
  <Override PartName="/word/theme/theme1.xml" ContentType="application/vnd.openxmlformats-officedocument.theme+xml"/>
  <Override PartName="/word/diagrams/layout3.xml" ContentType="application/vnd.openxmlformats-officedocument.drawingml.diagramLayout+xml"/>
  <Override PartName="/word/diagrams/layout15.xml" ContentType="application/vnd.openxmlformats-officedocument.drawingml.diagramLayout+xml"/>
  <Override PartName="/word/diagrams/colors13.xml" ContentType="application/vnd.openxmlformats-officedocument.drawingml.diagramColors+xml"/>
  <Override PartName="/word/charts/chart11.xml" ContentType="application/vnd.openxmlformats-officedocument.drawingml.chart+xml"/>
  <Override PartName="/word/charts/chart7.xml" ContentType="application/vnd.openxmlformats-officedocument.drawingml.chart+xml"/>
  <Override PartName="/word/diagrams/drawing1.xml" ContentType="application/vnd.ms-office.drawingml.diagramDrawing+xml"/>
  <Override PartName="/word/diagrams/quickStyle8.xml" ContentType="application/vnd.openxmlformats-officedocument.drawingml.diagramStyle+xml"/>
  <Override PartName="/word/diagrams/layout20.xml" ContentType="application/vnd.openxmlformats-officedocument.drawingml.diagramLayout+xml"/>
  <Override PartName="/word/theme/themeOverride10.xml" ContentType="application/vnd.openxmlformats-officedocument.themeOverride+xml"/>
  <Override PartName="/word/theme/themeOverride9.xml" ContentType="application/vnd.openxmlformats-officedocument.themeOverride+xml"/>
  <Default Extension="emf" ContentType="image/x-emf"/>
  <Override PartName="/word/diagrams/colors3.xml" ContentType="application/vnd.openxmlformats-officedocument.drawingml.diagramColors+xml"/>
  <Override PartName="/word/diagrams/layout7.xml" ContentType="application/vnd.openxmlformats-officedocument.drawingml.diagramLayout+xml"/>
  <Override PartName="/word/diagrams/drawing12.xml" ContentType="application/vnd.ms-office.drawingml.diagramDrawing+xml"/>
  <Override PartName="/word/diagrams/data2.xml" ContentType="application/vnd.openxmlformats-officedocument.drawingml.diagramData+xml"/>
  <Override PartName="/word/diagrams/colors17.xml" ContentType="application/vnd.openxmlformats-officedocument.drawingml.diagramColors+xml"/>
  <Override PartName="/word/diagrams/layout19.xml" ContentType="application/vnd.openxmlformats-officedocument.drawingml.diagramLayout+xml"/>
  <Override PartName="/word/charts/chart15.xml" ContentType="application/vnd.openxmlformats-officedocument.drawingml.chart+xml"/>
  <Override PartName="/word/diagrams/data13.xml" ContentType="application/vnd.openxmlformats-officedocument.drawingml.diagramData+xml"/>
  <Override PartName="/word/diagrams/drawing5.xml" ContentType="application/vnd.ms-office.drawingml.diagramDrawing+xml"/>
  <Default Extension="package" ContentType="application/vnd.openxmlformats-officedocument.package"/>
  <Default Extension="rels" ContentType="application/vnd.openxmlformats-package.relationships+xml"/>
  <Override PartName="/word/theme/themeOverride14.xml" ContentType="application/vnd.openxmlformats-officedocument.themeOverride+xml"/>
  <Override PartName="/word/diagrams/quickStyle1.xml" ContentType="application/vnd.openxmlformats-officedocument.drawingml.diagramStyle+xml"/>
  <Override PartName="/word/diagrams/quickStyle13.xml" ContentType="application/vnd.openxmlformats-officedocument.drawingml.diagramStyle+xml"/>
  <Override PartName="/word/theme/themeOverride2.xml" ContentType="application/vnd.openxmlformats-officedocument.themeOverride+xml"/>
  <Override PartName="/word/diagrams/drawing7.xml" ContentType="application/vnd.ms-office.drawingml.diagramDrawing+xml"/>
  <Override PartName="/word/diagrams/colors7.xml" ContentType="application/vnd.openxmlformats-officedocument.drawingml.diagramColors+xml"/>
  <Override PartName="/word/diagrams/data6.xml" ContentType="application/vnd.openxmlformats-officedocument.drawingml.diagramData+xml"/>
  <Override PartName="/word/diagrams/drawing16.xml" ContentType="application/vnd.ms-office.drawingml.diagramDrawing+xml"/>
  <Override PartName="/word/diagrams/data20.xml" ContentType="application/vnd.openxmlformats-officedocument.drawingml.diagramData+xml"/>
  <Override PartName="/word/diagrams/layout12.xml" ContentType="application/vnd.openxmlformats-officedocument.drawingml.diagramLayout+xml"/>
  <Override PartName="/word/diagrams/colors10.xml" ContentType="application/vnd.openxmlformats-officedocument.drawingml.diagramColors+xml"/>
  <Override PartName="/word/diagrams/data17.xml" ContentType="application/vnd.openxmlformats-officedocument.drawingml.diagramData+xml"/>
  <Override PartName="/word/charts/chart4.xml" ContentType="application/vnd.openxmlformats-officedocument.drawingml.chart+xml"/>
  <Override PartName="/word/diagrams/quickStyle5.xml" ContentType="application/vnd.openxmlformats-officedocument.drawingml.diagramStyle+xml"/>
  <Override PartName="/word/diagrams/quickStyle17.xml" ContentType="application/vnd.openxmlformats-officedocument.drawingml.diagramStyle+xml"/>
  <Override PartName="/word/diagrams/data19.xml" ContentType="application/vnd.openxmlformats-officedocument.drawingml.diagramData+xml"/>
  <Override PartName="/word/theme/themeOverride6.xml" ContentType="application/vnd.openxmlformats-officedocument.themeOverride+xml"/>
  <Override PartName="/word/endnotes.xml" ContentType="application/vnd.openxmlformats-officedocument.wordprocessingml.endnotes+xml"/>
  <Override PartName="/word/diagrams/layout4.xml" ContentType="application/vnd.openxmlformats-officedocument.drawingml.diagramLayout+xml"/>
  <Override PartName="/word/numbering.xml" ContentType="application/vnd.openxmlformats-officedocument.wordprocessingml.numbering+xml"/>
  <Override PartName="/word/diagrams/colors14.xml" ContentType="application/vnd.openxmlformats-officedocument.drawingml.diagramColors+xml"/>
  <Override PartName="/word/diagrams/layout16.xml" ContentType="application/vnd.openxmlformats-officedocument.drawingml.diagramLayout+xml"/>
  <Default Extension="xml" ContentType="application/xml"/>
  <Override PartName="/word/charts/chart12.xml" ContentType="application/vnd.openxmlformats-officedocument.drawingml.chart+xml"/>
  <Override PartName="/word/diagrams/data10.xml" ContentType="application/vnd.openxmlformats-officedocument.drawingml.diagramData+xml"/>
  <Override PartName="/word/diagrams/drawing2.xml" ContentType="application/vnd.ms-office.drawingml.diagramDrawing+xml"/>
  <Override PartName="/word/charts/chart8.xml" ContentType="application/vnd.openxmlformats-officedocument.drawingml.chart+xml"/>
  <Override PartName="/docProps/app.xml" ContentType="application/vnd.openxmlformats-officedocument.extended-properties+xml"/>
  <Override PartName="/word/theme/themeOverride11.xml" ContentType="application/vnd.openxmlformats-officedocument.themeOverride+xml"/>
  <Override PartName="/word/diagrams/quickStyle10.xml" ContentType="application/vnd.openxmlformats-officedocument.drawingml.diagramStyle+xml"/>
  <Override PartName="/word/diagrams/colors4.xml" ContentType="application/vnd.openxmlformats-officedocument.drawingml.diagramColors+xml"/>
  <Override PartName="/word/diagrams/layout8.xml" ContentType="application/vnd.openxmlformats-officedocument.drawingml.diagramLayout+xml"/>
  <Override PartName="/word/diagrams/drawing13.xml" ContentType="application/vnd.ms-office.drawingml.diagramDrawing+xml"/>
  <Override PartName="/word/diagrams/data3.xml" ContentType="application/vnd.openxmlformats-officedocument.drawingml.diagramData+xml"/>
  <Override PartName="/word/diagrams/colors18.xml" ContentType="application/vnd.openxmlformats-officedocument.drawingml.diagramColors+xml"/>
  <Override PartName="/word/charts/chart16.xml" ContentType="application/vnd.openxmlformats-officedocument.drawingml.chart+xml"/>
  <Override PartName="/word/diagrams/data14.xml" ContentType="application/vnd.openxmlformats-officedocument.drawingml.diagramData+xml"/>
  <Override PartName="/word/diagrams/drawing6.xml" ContentType="application/vnd.ms-office.drawingml.diagramDrawing+xml"/>
  <Override PartName="/word/charts/chart1.xml" ContentType="application/vnd.openxmlformats-officedocument.drawingml.chart+xml"/>
  <Override PartName="/word/settings.xml" ContentType="application/vnd.openxmlformats-officedocument.wordprocessingml.settings+xml"/>
  <Override PartName="/word/theme/themeOverride15.xml" ContentType="application/vnd.openxmlformats-officedocument.themeOverride+xml"/>
  <Override PartName="/word/diagrams/quickStyle2.xml" ContentType="application/vnd.openxmlformats-officedocument.drawingml.diagramStyle+xml"/>
  <Override PartName="/word/diagrams/quickStyle14.xml" ContentType="application/vnd.openxmlformats-officedocument.drawingml.diagramStyle+xml"/>
  <Override PartName="/word/diagrams/drawing8.xml" ContentType="application/vnd.ms-office.drawingml.diagramDrawing+xml"/>
  <Override PartName="/word/diagrams/colors8.xml" ContentType="application/vnd.openxmlformats-officedocument.drawingml.diagramColors+xml"/>
  <Override PartName="/word/theme/themeOverride3.xml" ContentType="application/vnd.openxmlformats-officedocument.themeOverride+xml"/>
  <Override PartName="/word/diagrams/data7.xml" ContentType="application/vnd.openxmlformats-officedocument.drawingml.diagramData+xml"/>
  <Override PartName="/word/footnotes.xml" ContentType="application/vnd.openxmlformats-officedocument.wordprocessingml.footnotes+xml"/>
  <Override PartName="/word/diagrams/drawing17.xml" ContentType="application/vnd.ms-office.drawingml.diagramDrawing+xml"/>
  <Override PartName="/word/diagrams/layout1.xml" ContentType="application/vnd.openxmlformats-officedocument.drawingml.diagramLayout+xml"/>
  <Override PartName="/word/diagrams/layout13.xml" ContentType="application/vnd.openxmlformats-officedocument.drawingml.diagramLayout+xml"/>
  <Override PartName="/word/diagrams/colors11.xml" ContentType="application/vnd.openxmlformats-officedocument.drawingml.diagramColors+xml"/>
  <Override PartName="/word/charts/chart5.xml" ContentType="application/vnd.openxmlformats-officedocument.drawingml.chart+xml"/>
  <Override PartName="/word/diagrams/quickStyle6.xml" ContentType="application/vnd.openxmlformats-officedocument.drawingml.diagramStyle+xml"/>
  <Override PartName="/word/diagrams/quickStyle18.xml" ContentType="application/vnd.openxmlformats-officedocument.drawingml.diagramStyle+xml"/>
  <Override PartName="/word/theme/themeOverride7.xml" ContentType="application/vnd.openxmlformats-officedocument.themeOverride+xml"/>
  <Override PartName="/word/fontTable.xml" ContentType="application/vnd.openxmlformats-officedocument.wordprocessingml.fontTable+xml"/>
  <Override PartName="/word/diagrams/colors1.xml" ContentType="application/vnd.openxmlformats-officedocument.drawingml.diagramColors+xml"/>
  <Override PartName="/word/diagrams/drawing10.xml" ContentType="application/vnd.ms-office.drawingml.diagramDrawing+xml"/>
  <Default Extension="png" ContentType="image/png"/>
  <Override PartName="/word/diagrams/layout5.xml" ContentType="application/vnd.openxmlformats-officedocument.drawingml.diagramLayout+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740144" w:rsidRDefault="00740144"/>
    <w:p w:rsidR="00740144" w:rsidRDefault="007C4A7C">
      <w:r>
        <w:rPr>
          <w:noProof/>
          <w:lang w:eastAsia="fr-FR"/>
        </w:rPr>
        <w:pict>
          <v:group id="Groupe 14" o:spid="_x0000_s1030" style="position:absolute;margin-left:592.1pt;margin-top:0;width:244.8pt;height:841.9pt;z-index:251656192;mso-position-horizontal:right;mso-position-horizontal-relative:page;mso-position-vertical:top;mso-position-vertical-relative:page"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" o:allowincell="f">
            <v:group id="Group 364" o:spid="_x0000_s1031"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32" style="position:absolute;left:7755;width:4505;height:15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9bbb59" stroked="f" strokecolor="#d8d8d8"/>
              <v:rect id="Rectangle 366" o:spid="_x0000_s1033" alt="Light vertical" style="position:absolute;left:7560;top:8;width:195;height:158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stroked="f" strokecolor="white" strokeweight="1pt">
                <v:fill r:id="rId7" o:title="" opacity="52428f" o:opacity2="52428f" type="pattern"/>
                <v:shadow color="#d8d8d8" offset="3pt,3pt"/>
              </v:rect>
            </v:group>
            <v:rect id="Rectangle 367" o:spid="_x0000_s1034" style="position:absolute;left:7344;width:4896;height:3255;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p w:rsidR="00740144" w:rsidRPr="000857F0" w:rsidRDefault="00740144">
                    <w:pPr>
                      <w:pStyle w:val="Sansinterligne"/>
                      <w:rPr>
                        <w:rFonts w:ascii="Cambria" w:hAnsi="Cambria"/>
                        <w:b/>
                        <w:bCs/>
                        <w:color w:val="FFFFFF"/>
                        <w:sz w:val="96"/>
                        <w:szCs w:val="96"/>
                      </w:rPr>
                    </w:pPr>
                    <w:r w:rsidRPr="000857F0">
                      <w:rPr>
                        <w:b/>
                        <w:bCs/>
                        <w:color w:val="7F7F7F"/>
                        <w:sz w:val="72"/>
                        <w:szCs w:val="72"/>
                      </w:rPr>
                      <w:t>Année 2012</w:t>
                    </w:r>
                  </w:p>
                </w:txbxContent>
              </v:textbox>
            </v:rect>
            <v:rect id="Rectangle 9" o:spid="_x0000_s1035" style="position:absolute;left:7329;top:10658;width:4889;height:4462;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p w:rsidR="00740144" w:rsidRPr="000857F0" w:rsidRDefault="00771071">
                    <w:pPr>
                      <w:pStyle w:val="Sansinterligne"/>
                      <w:spacing w:line="360" w:lineRule="auto"/>
                      <w:rPr>
                        <w:color w:val="FFFFFF"/>
                      </w:rPr>
                    </w:pPr>
                    <w:r>
                      <w:rPr>
                        <w:noProof/>
                      </w:rPr>
                      <w:drawing>
                        <wp:inline distT="0" distB="0" distL="0" distR="0">
                          <wp:extent cx="2438400" cy="1079500"/>
                          <wp:effectExtent l="25400" t="0" r="0" b="0"/>
                          <wp:docPr id="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8"/>
                                  <a:srcRect/>
                                  <a:stretch>
                                    <a:fillRect/>
                                  </a:stretch>
                                </pic:blipFill>
                                <pic:spPr bwMode="auto">
                                  <a:xfrm>
                                    <a:off x="0" y="0"/>
                                    <a:ext cx="2438400" cy="1079500"/>
                                  </a:xfrm>
                                  <a:prstGeom prst="rect">
                                    <a:avLst/>
                                  </a:prstGeom>
                                  <a:noFill/>
                                  <a:ln w="9525">
                                    <a:noFill/>
                                    <a:miter lim="800000"/>
                                    <a:headEnd/>
                                    <a:tailEnd/>
                                  </a:ln>
                                </pic:spPr>
                              </pic:pic>
                            </a:graphicData>
                          </a:graphic>
                        </wp:inline>
                      </w:drawing>
                    </w:r>
                  </w:p>
                </w:txbxContent>
              </v:textbox>
            </v:rect>
            <w10:wrap anchorx="page" anchory="page"/>
          </v:group>
        </w:pict>
      </w:r>
    </w:p>
    <w:p w:rsidR="00740144" w:rsidRDefault="00740144"/>
    <w:p w:rsidR="00740144" w:rsidRDefault="00740144"/>
    <w:p w:rsidR="00740144" w:rsidRDefault="00740144"/>
    <w:p w:rsidR="00740144" w:rsidRDefault="00740144"/>
    <w:p w:rsidR="00740144" w:rsidRDefault="00740144"/>
    <w:p w:rsidR="00740144" w:rsidRDefault="007C4A7C">
      <w:r>
        <w:rPr>
          <w:noProof/>
          <w:lang w:eastAsia="fr-FR"/>
        </w:rPr>
        <w:pict>
          <v:rect id="Rectangle 16" o:spid="_x0000_s1036" style="position:absolute;margin-left:0;margin-top:223.75pt;width:533.8pt;height:60.1pt;z-index:251657216;visibility:visible;mso-position-horizontal:left;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" o:allowincell="f" fillcolor="#c0504d" strokecolor="white" strokeweight="1pt">
            <v:textbox style="mso-fit-shape-to-text:t" inset="14.4pt,,14.4pt">
              <w:txbxContent>
                <w:p w:rsidR="00740144" w:rsidRPr="000857F0" w:rsidRDefault="00740144">
                  <w:pPr>
                    <w:pStyle w:val="Sansinterligne"/>
                    <w:jc w:val="right"/>
                    <w:rPr>
                      <w:b/>
                      <w:color w:val="BFBFBF"/>
                      <w:sz w:val="72"/>
                      <w:szCs w:val="72"/>
                    </w:rPr>
                  </w:pPr>
                  <w:r w:rsidRPr="000857F0">
                    <w:rPr>
                      <w:b/>
                      <w:color w:val="BFBFBF"/>
                      <w:sz w:val="72"/>
                      <w:szCs w:val="72"/>
                    </w:rPr>
                    <w:t>Bilan Activités Clauses Sociales</w:t>
                  </w:r>
                </w:p>
                <w:p w:rsidR="00740144" w:rsidRPr="000857F0" w:rsidRDefault="00740144">
                  <w:pPr>
                    <w:pStyle w:val="Sansinterligne"/>
                    <w:jc w:val="right"/>
                    <w:rPr>
                      <w:color w:val="FFFFFF"/>
                      <w:sz w:val="72"/>
                      <w:szCs w:val="72"/>
                    </w:rPr>
                  </w:pPr>
                </w:p>
                <w:p w:rsidR="00740144" w:rsidRPr="000857F0" w:rsidRDefault="00740144" w:rsidP="00340031">
                  <w:pPr>
                    <w:pStyle w:val="Sansinterligne"/>
                    <w:jc w:val="center"/>
                    <w:rPr>
                      <w:b/>
                      <w:color w:val="BFBFBF"/>
                      <w:sz w:val="72"/>
                      <w:szCs w:val="72"/>
                    </w:rPr>
                  </w:pPr>
                  <w:r w:rsidRPr="000857F0">
                    <w:rPr>
                      <w:b/>
                      <w:color w:val="BFBFBF"/>
                      <w:sz w:val="72"/>
                      <w:szCs w:val="72"/>
                    </w:rPr>
                    <w:t>PLIE de Bordeaux</w:t>
                  </w:r>
                </w:p>
              </w:txbxContent>
            </v:textbox>
            <w10:wrap anchorx="page" anchory="page"/>
          </v:rect>
        </w:pict>
      </w:r>
    </w:p>
    <w:p w:rsidR="00740144" w:rsidRDefault="00740144"/>
    <w:p w:rsidR="00740144" w:rsidRDefault="00740144"/>
    <w:p w:rsidR="00740144" w:rsidRDefault="00740144"/>
    <w:p w:rsidR="00740144" w:rsidRDefault="00740144"/>
    <w:p w:rsidR="00740144" w:rsidRDefault="00740144"/>
    <w:p w:rsidR="00740144" w:rsidRDefault="00740144"/>
    <w:p w:rsidR="00740144" w:rsidRDefault="00740144"/>
    <w:p w:rsidR="00740144" w:rsidRDefault="00740144"/>
    <w:p w:rsidR="00740144" w:rsidRDefault="00740144"/>
    <w:p w:rsidR="00740144" w:rsidRDefault="00740144"/>
    <w:p w:rsidR="00740144" w:rsidRDefault="00740144"/>
    <w:p w:rsidR="00740144" w:rsidRDefault="00740144"/>
    <w:p w:rsidR="00740144" w:rsidRDefault="00740144"/>
    <w:p w:rsidR="00740144" w:rsidRDefault="00740144"/>
    <w:p w:rsidR="00740144" w:rsidRDefault="00740144"/>
    <w:p w:rsidR="00740144" w:rsidRDefault="00740144"/>
    <w:p w:rsidR="00740144" w:rsidRDefault="00740144"/>
    <w:p w:rsidR="00740144" w:rsidRDefault="00740144"/>
    <w:p w:rsidR="00740144" w:rsidRDefault="00740144"/>
    <w:p w:rsidR="00740144" w:rsidRDefault="00740144"/>
    <w:p w:rsidR="00740144" w:rsidRDefault="00740144"/>
    <w:p w:rsidR="00740144" w:rsidRDefault="00740144">
      <w:pPr>
        <w:sectPr w:rsidR="00740144">
          <w:footerReference w:type="default" r:id="rId9"/>
          <w:footerReference w:type="first" r:id="rId10"/>
          <w:pgSz w:w="11906" w:h="16838"/>
          <w:pgMar w:top="720" w:right="720" w:bottom="720" w:left="720" w:header="708" w:footer="708" w:gutter="0"/>
          <w:pgNumType w:start="0"/>
          <w:cols w:space="708"/>
          <w:titlePg/>
          <w:docGrid w:linePitch="360"/>
        </w:sectPr>
      </w:pPr>
    </w:p>
    <w:p w:rsidR="00740144" w:rsidRDefault="00771071" w:rsidP="00B12558">
      <w:r>
        <w:rPr>
          <w:noProof/>
          <w:lang w:eastAsia="fr-FR"/>
        </w:rPr>
        <w:drawing>
          <wp:inline distT="0" distB="0" distL="0" distR="0">
            <wp:extent cx="6319108" cy="5588000"/>
            <wp:effectExtent l="18306" t="0" r="12586" b="0"/>
            <wp:docPr id="5" name="Diagramme 2"/>
            <wp:cNvGraphicFramePr>
              <a:graphicFrameLocks xmlns:a="http://schemas.openxmlformats.org/drawingml/2006/main"/>
            </wp:cNvGraphicFramePr>
            <a:graphic xmlns:a="http://schemas.openxmlformats.org/drawingml/2006/main">
              <a:graphicData uri="http://schemas.openxmlformats.org/drawingml/2006/diagram">
                <a:relIds xmlns:dgm="http://schemas.openxmlformats.org/drawingml/2006/diagram" xmlns:r="http://schemas.openxmlformats.org/officeDocument/2006/relationships" r:dm="rId11" r:lo="rId12" r:qs="rId13" r:cs="rId14"/>
              </a:graphicData>
            </a:graphic>
          </wp:inline>
        </w:drawing>
      </w:r>
    </w:p>
    <w:p w:rsidR="00740144" w:rsidRDefault="00740144">
      <w:pPr>
        <w:tabs>
          <w:tab w:val="left" w:pos="2552"/>
        </w:tabs>
      </w:pPr>
    </w:p>
    <w:p w:rsidR="00740144" w:rsidRDefault="00740144"/>
    <w:p w:rsidR="00740144" w:rsidRDefault="00740144"/>
    <w:p w:rsidR="00740144" w:rsidRDefault="00740144"/>
    <w:p w:rsidR="00740144" w:rsidRDefault="00740144"/>
    <w:p w:rsidR="00740144" w:rsidRDefault="00740144"/>
    <w:p w:rsidR="00740144" w:rsidRDefault="00740144"/>
    <w:p w:rsidR="00740144" w:rsidRDefault="00740144"/>
    <w:p w:rsidR="00740144" w:rsidRDefault="00740144"/>
    <w:p w:rsidR="00740144" w:rsidRDefault="00771071">
      <w:r>
        <w:rPr>
          <w:noProof/>
          <w:lang w:eastAsia="fr-FR"/>
        </w:rPr>
        <w:drawing>
          <wp:inline distT="0" distB="0" distL="0" distR="0">
            <wp:extent cx="419100" cy="381000"/>
            <wp:effectExtent l="0" t="0" r="0" b="0"/>
            <wp:docPr id="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6"/>
                    <a:srcRect/>
                    <a:stretch>
                      <a:fillRect/>
                    </a:stretch>
                  </pic:blipFill>
                  <pic:spPr bwMode="auto">
                    <a:xfrm>
                      <a:off x="0" y="0"/>
                      <a:ext cx="419100" cy="381000"/>
                    </a:xfrm>
                    <a:prstGeom prst="rect">
                      <a:avLst/>
                    </a:prstGeom>
                    <a:noFill/>
                    <a:ln w="9525">
                      <a:noFill/>
                      <a:miter lim="800000"/>
                      <a:headEnd/>
                      <a:tailEnd/>
                    </a:ln>
                  </pic:spPr>
                </pic:pic>
              </a:graphicData>
            </a:graphic>
          </wp:inline>
        </w:drawing>
      </w:r>
      <w:r>
        <w:rPr>
          <w:noProof/>
          <w:lang w:eastAsia="fr-FR"/>
        </w:rPr>
        <w:drawing>
          <wp:inline distT="0" distB="0" distL="0" distR="0">
            <wp:extent cx="5530977" cy="1105373"/>
            <wp:effectExtent l="18288" t="12227" r="13335" b="0"/>
            <wp:docPr id="7" name="Diagramme 15"/>
            <wp:cNvGraphicFramePr>
              <a:graphicFrameLocks xmlns:a="http://schemas.openxmlformats.org/drawingml/2006/main"/>
            </wp:cNvGraphicFramePr>
            <a:graphic xmlns:a="http://schemas.openxmlformats.org/drawingml/2006/main">
              <a:graphicData uri="http://schemas.openxmlformats.org/drawingml/2006/diagram">
                <a:relIds xmlns:dgm="http://schemas.openxmlformats.org/drawingml/2006/diagram" xmlns:r="http://schemas.openxmlformats.org/officeDocument/2006/relationships" r:dm="rId17" r:lo="rId18" r:qs="rId19" r:cs="rId20"/>
              </a:graphicData>
            </a:graphic>
          </wp:inline>
        </w:drawing>
      </w:r>
    </w:p>
    <w:p w:rsidR="00740144" w:rsidRDefault="00740144"/>
    <w:p w:rsidR="00740144" w:rsidRPr="00C814CA" w:rsidRDefault="00740144" w:rsidP="008A50A0">
      <w:pPr>
        <w:jc w:val="both"/>
        <w:rPr>
          <w:sz w:val="24"/>
          <w:szCs w:val="24"/>
        </w:rPr>
      </w:pPr>
      <w:r w:rsidRPr="00C814CA">
        <w:rPr>
          <w:sz w:val="24"/>
          <w:szCs w:val="24"/>
        </w:rPr>
        <w:t>Depuis 2007, le PLIE de Bordeaux a souhaité proposer à ses différents partenaires la mise en œuvre d’une mission permanente d’animation des clauses sociales afin de répondre à un triple objectif :</w:t>
      </w:r>
    </w:p>
    <w:p w:rsidR="00740144" w:rsidRPr="00C814CA" w:rsidRDefault="00740144" w:rsidP="008A50A0">
      <w:pPr>
        <w:jc w:val="both"/>
        <w:rPr>
          <w:sz w:val="24"/>
          <w:szCs w:val="24"/>
        </w:rPr>
      </w:pPr>
      <w:r w:rsidRPr="00C814CA">
        <w:rPr>
          <w:sz w:val="24"/>
          <w:szCs w:val="24"/>
        </w:rPr>
        <w:t>- avant tout, utiliser l’investissement public et privé réalisé à Bordeaux comme un formidable levier permettant la remise en situation de travail de personnes en insertion, en ayant comme objectif permanent le retour à un emploi durable de ces personnes,</w:t>
      </w:r>
    </w:p>
    <w:p w:rsidR="00740144" w:rsidRPr="00C814CA" w:rsidRDefault="00740144" w:rsidP="008A50A0">
      <w:pPr>
        <w:jc w:val="both"/>
        <w:rPr>
          <w:sz w:val="24"/>
          <w:szCs w:val="24"/>
        </w:rPr>
      </w:pPr>
      <w:r w:rsidRPr="00C814CA">
        <w:rPr>
          <w:sz w:val="24"/>
          <w:szCs w:val="24"/>
        </w:rPr>
        <w:t>- promouvoir par le biais des clauses les structures d’insertion par l’activité économique, en contribuant ainsi au renforcement de leur activité et en leur permettant aussi d’établir des liens partenariaux avec les entreprises adjudicataires de marchés « clausés »,</w:t>
      </w:r>
    </w:p>
    <w:p w:rsidR="00740144" w:rsidRPr="00C814CA" w:rsidRDefault="00740144" w:rsidP="008A50A0">
      <w:pPr>
        <w:jc w:val="both"/>
        <w:rPr>
          <w:sz w:val="24"/>
          <w:szCs w:val="24"/>
        </w:rPr>
      </w:pPr>
      <w:r w:rsidRPr="00C814CA">
        <w:rPr>
          <w:sz w:val="24"/>
          <w:szCs w:val="24"/>
        </w:rPr>
        <w:t>- répondre enfin aux besoins des entreprises attributaires en leur proposant une pré sélection de personnes éligibles dont le profil correspond à leurs attentes, mais aussi en travaillant en</w:t>
      </w:r>
      <w:r>
        <w:rPr>
          <w:sz w:val="24"/>
          <w:szCs w:val="24"/>
        </w:rPr>
        <w:t xml:space="preserve"> amont</w:t>
      </w:r>
      <w:r w:rsidRPr="00C814CA">
        <w:rPr>
          <w:sz w:val="24"/>
          <w:szCs w:val="24"/>
        </w:rPr>
        <w:t xml:space="preserve"> à la sensibilisation, l’évaluation,</w:t>
      </w:r>
      <w:r>
        <w:rPr>
          <w:sz w:val="24"/>
          <w:szCs w:val="24"/>
        </w:rPr>
        <w:t xml:space="preserve"> </w:t>
      </w:r>
      <w:r w:rsidRPr="00C814CA">
        <w:rPr>
          <w:sz w:val="24"/>
          <w:szCs w:val="24"/>
        </w:rPr>
        <w:t>la formation et la redynamisation de candidats pouvant être positionnés sur des offres d’emploi.</w:t>
      </w:r>
    </w:p>
    <w:p w:rsidR="00740144" w:rsidRPr="00C814CA" w:rsidRDefault="00740144" w:rsidP="008A50A0">
      <w:pPr>
        <w:jc w:val="both"/>
        <w:rPr>
          <w:sz w:val="24"/>
          <w:szCs w:val="24"/>
        </w:rPr>
      </w:pPr>
      <w:r>
        <w:rPr>
          <w:sz w:val="24"/>
          <w:szCs w:val="24"/>
        </w:rPr>
        <w:t>Le</w:t>
      </w:r>
      <w:r w:rsidRPr="00C814CA">
        <w:rPr>
          <w:sz w:val="24"/>
          <w:szCs w:val="24"/>
        </w:rPr>
        <w:t xml:space="preserve"> PLIE de Bordeaux, porté pa</w:t>
      </w:r>
      <w:r>
        <w:rPr>
          <w:sz w:val="24"/>
          <w:szCs w:val="24"/>
        </w:rPr>
        <w:t xml:space="preserve">r Emploi Bordeaux depuis 2011, </w:t>
      </w:r>
      <w:r w:rsidRPr="00C814CA">
        <w:rPr>
          <w:sz w:val="24"/>
          <w:szCs w:val="24"/>
        </w:rPr>
        <w:t xml:space="preserve">a </w:t>
      </w:r>
      <w:r>
        <w:rPr>
          <w:sz w:val="24"/>
          <w:szCs w:val="24"/>
        </w:rPr>
        <w:t xml:space="preserve">développé cette animation. </w:t>
      </w:r>
    </w:p>
    <w:p w:rsidR="00740144" w:rsidRDefault="00740144"/>
    <w:p w:rsidR="00740144" w:rsidRDefault="00740144">
      <w:pPr>
        <w:rPr>
          <w:sz w:val="16"/>
          <w:szCs w:val="16"/>
        </w:rPr>
      </w:pPr>
      <w:r>
        <w:rPr>
          <w:sz w:val="16"/>
          <w:szCs w:val="16"/>
        </w:rPr>
        <w:br w:type="page"/>
      </w:r>
    </w:p>
    <w:p w:rsidR="00740144" w:rsidRDefault="00771071">
      <w:r w:rsidRPr="007C4A7C">
        <w:rPr>
          <w:b/>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32" type="#_x0000_t136" style="width:26pt;height:32pt" fillcolor="#76923c" strokecolor="white">
            <v:shadow on="t" color="white" offset="4pt,3pt" offset2="4pt,2pt"/>
            <o:extrusion v:ext="view" specularity="80000f" backdepth="15pt" color="white" rotationangle=",15" viewpoint="0,0" viewpointorigin="0,0" skewangle="0" skewamt="0" lightposition="-50000,-50000" lightposition2="50000" type="perspective"/>
            <v:textpath style="font-family:&quot;Franklin Gothic Heavy&quot;;font-size:28pt;font-weight:bold;v-text-kern:t" trim="t" fitpath="t" string="2"/>
          </v:shape>
        </w:pict>
      </w:r>
      <w:r>
        <w:rPr>
          <w:noProof/>
          <w:lang w:eastAsia="fr-FR"/>
        </w:rPr>
        <w:drawing>
          <wp:inline distT="0" distB="0" distL="0" distR="0">
            <wp:extent cx="6070600" cy="822198"/>
            <wp:effectExtent l="0" t="12192" r="0" b="3810"/>
            <wp:docPr id="9" name="Diagramme 18"/>
            <wp:cNvGraphicFramePr>
              <a:graphicFrameLocks xmlns:a="http://schemas.openxmlformats.org/drawingml/2006/main"/>
            </wp:cNvGraphicFramePr>
            <a:graphic xmlns:a="http://schemas.openxmlformats.org/drawingml/2006/main">
              <a:graphicData uri="http://schemas.openxmlformats.org/drawingml/2006/diagram">
                <a:relIds xmlns:dgm="http://schemas.openxmlformats.org/drawingml/2006/diagram" xmlns:r="http://schemas.openxmlformats.org/officeDocument/2006/relationships" r:dm="rId22" r:lo="rId23" r:qs="rId24" r:cs="rId25"/>
              </a:graphicData>
            </a:graphic>
          </wp:inline>
        </w:drawing>
      </w:r>
    </w:p>
    <w:p w:rsidR="00740144" w:rsidRDefault="00740144" w:rsidP="00D830C5">
      <w:pPr>
        <w:pStyle w:val="Corpsdetexte21"/>
        <w:jc w:val="both"/>
        <w:rPr>
          <w:rFonts w:ascii="Franklin Gothic Book" w:hAnsi="Franklin Gothic Book"/>
          <w:color w:val="333333"/>
          <w:sz w:val="22"/>
          <w:szCs w:val="22"/>
          <w:u w:val="none"/>
        </w:rPr>
      </w:pPr>
    </w:p>
    <w:p w:rsidR="00740144" w:rsidRPr="001B377A" w:rsidRDefault="00740144" w:rsidP="00D830C5">
      <w:pPr>
        <w:pStyle w:val="Corpsdetexte21"/>
        <w:jc w:val="both"/>
        <w:rPr>
          <w:rFonts w:ascii="Calibri" w:hAnsi="Calibri"/>
          <w:b w:val="0"/>
          <w:color w:val="333333"/>
          <w:szCs w:val="24"/>
          <w:u w:val="none"/>
        </w:rPr>
      </w:pPr>
      <w:r w:rsidRPr="001B377A">
        <w:rPr>
          <w:rFonts w:ascii="Calibri" w:hAnsi="Calibri"/>
          <w:color w:val="333333"/>
          <w:szCs w:val="24"/>
          <w:u w:val="none"/>
        </w:rPr>
        <w:t>Entre le 1</w:t>
      </w:r>
      <w:r w:rsidRPr="001B377A">
        <w:rPr>
          <w:rFonts w:ascii="Calibri" w:hAnsi="Calibri"/>
          <w:color w:val="333333"/>
          <w:szCs w:val="24"/>
          <w:u w:val="none"/>
          <w:vertAlign w:val="superscript"/>
        </w:rPr>
        <w:t>er</w:t>
      </w:r>
      <w:r w:rsidRPr="001B377A">
        <w:rPr>
          <w:rFonts w:ascii="Calibri" w:hAnsi="Calibri"/>
          <w:color w:val="333333"/>
          <w:szCs w:val="24"/>
          <w:u w:val="none"/>
        </w:rPr>
        <w:t xml:space="preserve"> janvier et le 31 décembre 2012,  94 098 heures de travail </w:t>
      </w:r>
      <w:r w:rsidRPr="001B377A">
        <w:rPr>
          <w:rFonts w:ascii="Calibri" w:hAnsi="Calibri"/>
          <w:b w:val="0"/>
          <w:color w:val="333333"/>
          <w:szCs w:val="24"/>
          <w:u w:val="none"/>
        </w:rPr>
        <w:t>réservées à un public rencontrant des difficultés d’insertion socioprofessionnelle ont été réalisées dans le cadre des marchés incluant une clause sociale sur le territoire de Bordeaux.</w:t>
      </w:r>
    </w:p>
    <w:p w:rsidR="00740144" w:rsidRDefault="00740144" w:rsidP="00D830C5">
      <w:pPr>
        <w:pStyle w:val="Corpsdetexte21"/>
        <w:jc w:val="both"/>
        <w:rPr>
          <w:rFonts w:ascii="Franklin Gothic Book" w:hAnsi="Franklin Gothic Book"/>
          <w:color w:val="CC003F"/>
          <w:sz w:val="20"/>
          <w:szCs w:val="28"/>
          <w:u w:val="none"/>
        </w:rPr>
      </w:pPr>
    </w:p>
    <w:p w:rsidR="00740144" w:rsidRPr="009D0FF4" w:rsidRDefault="00740144" w:rsidP="00D830C5">
      <w:pPr>
        <w:pStyle w:val="Corpsdetexte21"/>
        <w:jc w:val="both"/>
        <w:rPr>
          <w:rFonts w:ascii="Franklin Gothic Book" w:hAnsi="Franklin Gothic Book"/>
          <w:color w:val="CC003F"/>
          <w:sz w:val="20"/>
          <w:szCs w:val="28"/>
          <w:u w:val="none"/>
        </w:rPr>
      </w:pPr>
    </w:p>
    <w:p w:rsidR="00740144" w:rsidRDefault="00771071">
      <w:r>
        <w:rPr>
          <w:noProof/>
          <w:lang w:eastAsia="fr-FR"/>
        </w:rPr>
        <w:drawing>
          <wp:inline distT="0" distB="0" distL="0" distR="0">
            <wp:extent cx="5893803" cy="1092812"/>
            <wp:effectExtent l="24397" t="12088" r="0" b="0"/>
            <wp:docPr id="10" name="Diagramme 14"/>
            <wp:cNvGraphicFramePr>
              <a:graphicFrameLocks xmlns:a="http://schemas.openxmlformats.org/drawingml/2006/main"/>
            </wp:cNvGraphicFramePr>
            <a:graphic xmlns:a="http://schemas.openxmlformats.org/drawingml/2006/main">
              <a:graphicData uri="http://schemas.openxmlformats.org/drawingml/2006/diagram">
                <a:relIds xmlns:dgm="http://schemas.openxmlformats.org/drawingml/2006/diagram" xmlns:r="http://schemas.openxmlformats.org/officeDocument/2006/relationships" r:dm="rId27" r:lo="rId28" r:qs="rId29" r:cs="rId30"/>
              </a:graphicData>
            </a:graphic>
          </wp:inline>
        </w:drawing>
      </w:r>
    </w:p>
    <w:tbl>
      <w:tblPr>
        <w:tblW w:w="9460" w:type="dxa"/>
        <w:tblInd w:w="55" w:type="dxa"/>
        <w:tblCellMar>
          <w:left w:w="70" w:type="dxa"/>
          <w:right w:w="70" w:type="dxa"/>
        </w:tblCellMar>
        <w:tblLook w:val="00A0"/>
      </w:tblPr>
      <w:tblGrid>
        <w:gridCol w:w="3460"/>
        <w:gridCol w:w="1200"/>
        <w:gridCol w:w="1200"/>
        <w:gridCol w:w="1200"/>
        <w:gridCol w:w="1200"/>
        <w:gridCol w:w="1200"/>
      </w:tblGrid>
      <w:tr w:rsidR="00740144" w:rsidRPr="000857F0">
        <w:trPr>
          <w:trHeight w:val="270"/>
        </w:trPr>
        <w:tc>
          <w:tcPr>
            <w:tcW w:w="3460" w:type="dxa"/>
            <w:tcBorders>
              <w:top w:val="single" w:sz="8" w:space="0" w:color="auto"/>
              <w:left w:val="single" w:sz="8" w:space="0" w:color="auto"/>
              <w:bottom w:val="single" w:sz="8" w:space="0" w:color="auto"/>
              <w:right w:val="single" w:sz="8" w:space="0" w:color="auto"/>
            </w:tcBorders>
            <w:noWrap/>
            <w:vAlign w:val="bottom"/>
          </w:tcPr>
          <w:p w:rsidR="00740144" w:rsidRPr="0066308B" w:rsidRDefault="00740144" w:rsidP="0066308B">
            <w:pPr>
              <w:spacing w:after="0" w:line="240" w:lineRule="auto"/>
              <w:rPr>
                <w:rFonts w:ascii="Arial" w:hAnsi="Arial" w:cs="Arial"/>
                <w:b/>
                <w:sz w:val="20"/>
                <w:szCs w:val="20"/>
                <w:lang w:eastAsia="fr-FR"/>
              </w:rPr>
            </w:pPr>
            <w:r w:rsidRPr="0066308B">
              <w:rPr>
                <w:rFonts w:ascii="Arial" w:hAnsi="Arial" w:cs="Arial"/>
                <w:b/>
                <w:sz w:val="20"/>
                <w:szCs w:val="20"/>
                <w:lang w:eastAsia="fr-FR"/>
              </w:rPr>
              <w:t>Année</w:t>
            </w:r>
          </w:p>
        </w:tc>
        <w:tc>
          <w:tcPr>
            <w:tcW w:w="1200" w:type="dxa"/>
            <w:tcBorders>
              <w:top w:val="single" w:sz="8" w:space="0" w:color="auto"/>
              <w:left w:val="nil"/>
              <w:bottom w:val="single" w:sz="8" w:space="0" w:color="auto"/>
              <w:right w:val="single" w:sz="8" w:space="0" w:color="auto"/>
            </w:tcBorders>
            <w:noWrap/>
            <w:vAlign w:val="bottom"/>
          </w:tcPr>
          <w:p w:rsidR="00740144" w:rsidRPr="0066308B" w:rsidRDefault="00740144" w:rsidP="0066308B">
            <w:pPr>
              <w:spacing w:after="0" w:line="240" w:lineRule="auto"/>
              <w:jc w:val="right"/>
              <w:rPr>
                <w:rFonts w:ascii="Arial" w:hAnsi="Arial" w:cs="Arial"/>
                <w:b/>
                <w:bCs/>
                <w:sz w:val="20"/>
                <w:szCs w:val="20"/>
                <w:lang w:eastAsia="fr-FR"/>
              </w:rPr>
            </w:pPr>
            <w:r w:rsidRPr="0066308B">
              <w:rPr>
                <w:rFonts w:ascii="Arial" w:hAnsi="Arial" w:cs="Arial"/>
                <w:b/>
                <w:bCs/>
                <w:sz w:val="20"/>
                <w:szCs w:val="20"/>
                <w:lang w:eastAsia="fr-FR"/>
              </w:rPr>
              <w:t>2008</w:t>
            </w:r>
          </w:p>
        </w:tc>
        <w:tc>
          <w:tcPr>
            <w:tcW w:w="1200" w:type="dxa"/>
            <w:tcBorders>
              <w:top w:val="single" w:sz="8" w:space="0" w:color="auto"/>
              <w:left w:val="nil"/>
              <w:bottom w:val="single" w:sz="8" w:space="0" w:color="auto"/>
              <w:right w:val="single" w:sz="8" w:space="0" w:color="auto"/>
            </w:tcBorders>
            <w:noWrap/>
            <w:vAlign w:val="bottom"/>
          </w:tcPr>
          <w:p w:rsidR="00740144" w:rsidRPr="0066308B" w:rsidRDefault="00740144" w:rsidP="0066308B">
            <w:pPr>
              <w:spacing w:after="0" w:line="240" w:lineRule="auto"/>
              <w:jc w:val="right"/>
              <w:rPr>
                <w:rFonts w:ascii="Arial" w:hAnsi="Arial" w:cs="Arial"/>
                <w:b/>
                <w:bCs/>
                <w:sz w:val="20"/>
                <w:szCs w:val="20"/>
                <w:lang w:eastAsia="fr-FR"/>
              </w:rPr>
            </w:pPr>
            <w:r w:rsidRPr="0066308B">
              <w:rPr>
                <w:rFonts w:ascii="Arial" w:hAnsi="Arial" w:cs="Arial"/>
                <w:b/>
                <w:bCs/>
                <w:sz w:val="20"/>
                <w:szCs w:val="20"/>
                <w:lang w:eastAsia="fr-FR"/>
              </w:rPr>
              <w:t>2009</w:t>
            </w:r>
          </w:p>
        </w:tc>
        <w:tc>
          <w:tcPr>
            <w:tcW w:w="1200" w:type="dxa"/>
            <w:tcBorders>
              <w:top w:val="single" w:sz="8" w:space="0" w:color="auto"/>
              <w:left w:val="nil"/>
              <w:bottom w:val="single" w:sz="8" w:space="0" w:color="auto"/>
              <w:right w:val="single" w:sz="8" w:space="0" w:color="auto"/>
            </w:tcBorders>
            <w:noWrap/>
            <w:vAlign w:val="bottom"/>
          </w:tcPr>
          <w:p w:rsidR="00740144" w:rsidRPr="0066308B" w:rsidRDefault="00740144" w:rsidP="0066308B">
            <w:pPr>
              <w:spacing w:after="0" w:line="240" w:lineRule="auto"/>
              <w:jc w:val="right"/>
              <w:rPr>
                <w:rFonts w:ascii="Arial" w:hAnsi="Arial" w:cs="Arial"/>
                <w:b/>
                <w:bCs/>
                <w:sz w:val="20"/>
                <w:szCs w:val="20"/>
                <w:lang w:eastAsia="fr-FR"/>
              </w:rPr>
            </w:pPr>
            <w:r w:rsidRPr="0066308B">
              <w:rPr>
                <w:rFonts w:ascii="Arial" w:hAnsi="Arial" w:cs="Arial"/>
                <w:b/>
                <w:bCs/>
                <w:sz w:val="20"/>
                <w:szCs w:val="20"/>
                <w:lang w:eastAsia="fr-FR"/>
              </w:rPr>
              <w:t>2010</w:t>
            </w:r>
          </w:p>
        </w:tc>
        <w:tc>
          <w:tcPr>
            <w:tcW w:w="1200" w:type="dxa"/>
            <w:tcBorders>
              <w:top w:val="single" w:sz="8" w:space="0" w:color="auto"/>
              <w:left w:val="nil"/>
              <w:bottom w:val="single" w:sz="8" w:space="0" w:color="auto"/>
              <w:right w:val="single" w:sz="8" w:space="0" w:color="auto"/>
            </w:tcBorders>
            <w:shd w:val="clear" w:color="000000" w:fill="FFFFFF"/>
            <w:noWrap/>
            <w:vAlign w:val="bottom"/>
          </w:tcPr>
          <w:p w:rsidR="00740144" w:rsidRPr="0066308B" w:rsidRDefault="00740144" w:rsidP="0066308B">
            <w:pPr>
              <w:spacing w:after="0" w:line="240" w:lineRule="auto"/>
              <w:jc w:val="right"/>
              <w:rPr>
                <w:rFonts w:ascii="Arial" w:hAnsi="Arial" w:cs="Arial"/>
                <w:b/>
                <w:bCs/>
                <w:sz w:val="20"/>
                <w:szCs w:val="20"/>
                <w:lang w:eastAsia="fr-FR"/>
              </w:rPr>
            </w:pPr>
            <w:r w:rsidRPr="0066308B">
              <w:rPr>
                <w:rFonts w:ascii="Arial" w:hAnsi="Arial" w:cs="Arial"/>
                <w:b/>
                <w:bCs/>
                <w:sz w:val="20"/>
                <w:szCs w:val="20"/>
                <w:lang w:eastAsia="fr-FR"/>
              </w:rPr>
              <w:t>2011</w:t>
            </w:r>
          </w:p>
        </w:tc>
        <w:tc>
          <w:tcPr>
            <w:tcW w:w="1200" w:type="dxa"/>
            <w:tcBorders>
              <w:top w:val="single" w:sz="8" w:space="0" w:color="auto"/>
              <w:left w:val="nil"/>
              <w:bottom w:val="single" w:sz="8" w:space="0" w:color="auto"/>
              <w:right w:val="single" w:sz="8" w:space="0" w:color="auto"/>
            </w:tcBorders>
            <w:noWrap/>
            <w:vAlign w:val="bottom"/>
          </w:tcPr>
          <w:p w:rsidR="00740144" w:rsidRPr="0066308B" w:rsidRDefault="00740144" w:rsidP="0066308B">
            <w:pPr>
              <w:spacing w:after="0" w:line="240" w:lineRule="auto"/>
              <w:jc w:val="right"/>
              <w:rPr>
                <w:rFonts w:ascii="Arial" w:hAnsi="Arial" w:cs="Arial"/>
                <w:bCs/>
                <w:sz w:val="20"/>
                <w:szCs w:val="20"/>
                <w:lang w:eastAsia="fr-FR"/>
              </w:rPr>
            </w:pPr>
            <w:r w:rsidRPr="0066308B">
              <w:rPr>
                <w:rFonts w:ascii="Arial" w:hAnsi="Arial" w:cs="Arial"/>
                <w:b/>
                <w:bCs/>
                <w:sz w:val="20"/>
                <w:szCs w:val="20"/>
                <w:lang w:eastAsia="fr-FR"/>
              </w:rPr>
              <w:t>2012</w:t>
            </w:r>
          </w:p>
        </w:tc>
      </w:tr>
      <w:tr w:rsidR="00740144" w:rsidRPr="000857F0">
        <w:trPr>
          <w:trHeight w:val="270"/>
        </w:trPr>
        <w:tc>
          <w:tcPr>
            <w:tcW w:w="3460" w:type="dxa"/>
            <w:tcBorders>
              <w:top w:val="single" w:sz="8" w:space="0" w:color="auto"/>
              <w:left w:val="single" w:sz="8" w:space="0" w:color="auto"/>
              <w:bottom w:val="single" w:sz="8" w:space="0" w:color="auto"/>
              <w:right w:val="single" w:sz="8" w:space="0" w:color="auto"/>
            </w:tcBorders>
            <w:noWrap/>
            <w:vAlign w:val="bottom"/>
          </w:tcPr>
          <w:p w:rsidR="00740144" w:rsidRPr="0066308B" w:rsidRDefault="00740144" w:rsidP="0066308B">
            <w:pPr>
              <w:spacing w:after="0" w:line="240" w:lineRule="auto"/>
              <w:rPr>
                <w:rFonts w:ascii="Arial" w:hAnsi="Arial" w:cs="Arial"/>
                <w:sz w:val="20"/>
                <w:szCs w:val="20"/>
                <w:lang w:eastAsia="fr-FR"/>
              </w:rPr>
            </w:pPr>
            <w:r w:rsidRPr="0066308B">
              <w:rPr>
                <w:rFonts w:ascii="Arial" w:hAnsi="Arial" w:cs="Arial"/>
                <w:sz w:val="20"/>
                <w:szCs w:val="20"/>
                <w:lang w:eastAsia="fr-FR"/>
              </w:rPr>
              <w:t>Heures insertion réalisées par année</w:t>
            </w:r>
          </w:p>
        </w:tc>
        <w:tc>
          <w:tcPr>
            <w:tcW w:w="1200" w:type="dxa"/>
            <w:tcBorders>
              <w:top w:val="nil"/>
              <w:left w:val="nil"/>
              <w:bottom w:val="single" w:sz="8" w:space="0" w:color="auto"/>
              <w:right w:val="single" w:sz="8" w:space="0" w:color="auto"/>
            </w:tcBorders>
            <w:noWrap/>
            <w:vAlign w:val="bottom"/>
          </w:tcPr>
          <w:p w:rsidR="00740144" w:rsidRPr="0066308B" w:rsidRDefault="00740144" w:rsidP="0066308B">
            <w:pPr>
              <w:spacing w:after="0" w:line="240" w:lineRule="auto"/>
              <w:jc w:val="right"/>
              <w:rPr>
                <w:rFonts w:ascii="Arial" w:hAnsi="Arial" w:cs="Arial"/>
                <w:sz w:val="20"/>
                <w:szCs w:val="20"/>
                <w:lang w:eastAsia="fr-FR"/>
              </w:rPr>
            </w:pPr>
            <w:r w:rsidRPr="0066308B">
              <w:rPr>
                <w:rFonts w:ascii="Arial" w:hAnsi="Arial" w:cs="Arial"/>
                <w:sz w:val="20"/>
                <w:szCs w:val="20"/>
                <w:lang w:eastAsia="fr-FR"/>
              </w:rPr>
              <w:t>6 057</w:t>
            </w:r>
          </w:p>
        </w:tc>
        <w:tc>
          <w:tcPr>
            <w:tcW w:w="1200" w:type="dxa"/>
            <w:tcBorders>
              <w:top w:val="nil"/>
              <w:left w:val="nil"/>
              <w:bottom w:val="single" w:sz="8" w:space="0" w:color="auto"/>
              <w:right w:val="single" w:sz="8" w:space="0" w:color="auto"/>
            </w:tcBorders>
            <w:noWrap/>
            <w:vAlign w:val="bottom"/>
          </w:tcPr>
          <w:p w:rsidR="00740144" w:rsidRPr="0066308B" w:rsidRDefault="00740144" w:rsidP="0066308B">
            <w:pPr>
              <w:spacing w:after="0" w:line="240" w:lineRule="auto"/>
              <w:jc w:val="right"/>
              <w:rPr>
                <w:rFonts w:ascii="Arial" w:hAnsi="Arial" w:cs="Arial"/>
                <w:sz w:val="20"/>
                <w:szCs w:val="20"/>
                <w:lang w:eastAsia="fr-FR"/>
              </w:rPr>
            </w:pPr>
            <w:r w:rsidRPr="0066308B">
              <w:rPr>
                <w:rFonts w:ascii="Arial" w:hAnsi="Arial" w:cs="Arial"/>
                <w:sz w:val="20"/>
                <w:szCs w:val="20"/>
                <w:lang w:eastAsia="fr-FR"/>
              </w:rPr>
              <w:t>14 500</w:t>
            </w:r>
          </w:p>
        </w:tc>
        <w:tc>
          <w:tcPr>
            <w:tcW w:w="1200" w:type="dxa"/>
            <w:tcBorders>
              <w:top w:val="nil"/>
              <w:left w:val="nil"/>
              <w:bottom w:val="single" w:sz="8" w:space="0" w:color="auto"/>
              <w:right w:val="single" w:sz="8" w:space="0" w:color="auto"/>
            </w:tcBorders>
            <w:noWrap/>
            <w:vAlign w:val="bottom"/>
          </w:tcPr>
          <w:p w:rsidR="00740144" w:rsidRPr="0066308B" w:rsidRDefault="00740144" w:rsidP="0066308B">
            <w:pPr>
              <w:spacing w:after="0" w:line="240" w:lineRule="auto"/>
              <w:jc w:val="right"/>
              <w:rPr>
                <w:rFonts w:ascii="Arial" w:hAnsi="Arial" w:cs="Arial"/>
                <w:sz w:val="20"/>
                <w:szCs w:val="20"/>
                <w:lang w:eastAsia="fr-FR"/>
              </w:rPr>
            </w:pPr>
            <w:r w:rsidRPr="0066308B">
              <w:rPr>
                <w:rFonts w:ascii="Arial" w:hAnsi="Arial" w:cs="Arial"/>
                <w:sz w:val="20"/>
                <w:szCs w:val="20"/>
                <w:lang w:eastAsia="fr-FR"/>
              </w:rPr>
              <w:t>35 407</w:t>
            </w:r>
          </w:p>
        </w:tc>
        <w:tc>
          <w:tcPr>
            <w:tcW w:w="1200" w:type="dxa"/>
            <w:tcBorders>
              <w:top w:val="nil"/>
              <w:left w:val="nil"/>
              <w:bottom w:val="single" w:sz="8" w:space="0" w:color="auto"/>
              <w:right w:val="single" w:sz="8" w:space="0" w:color="auto"/>
            </w:tcBorders>
            <w:shd w:val="clear" w:color="000000" w:fill="FFFFFF"/>
            <w:noWrap/>
            <w:vAlign w:val="bottom"/>
          </w:tcPr>
          <w:p w:rsidR="00740144" w:rsidRPr="0066308B" w:rsidRDefault="00740144" w:rsidP="0066308B">
            <w:pPr>
              <w:spacing w:after="0" w:line="240" w:lineRule="auto"/>
              <w:jc w:val="right"/>
              <w:rPr>
                <w:rFonts w:ascii="Arial" w:hAnsi="Arial" w:cs="Arial"/>
                <w:sz w:val="20"/>
                <w:szCs w:val="20"/>
                <w:lang w:eastAsia="fr-FR"/>
              </w:rPr>
            </w:pPr>
            <w:r w:rsidRPr="0066308B">
              <w:rPr>
                <w:rFonts w:ascii="Arial" w:hAnsi="Arial" w:cs="Arial"/>
                <w:sz w:val="20"/>
                <w:szCs w:val="20"/>
                <w:lang w:eastAsia="fr-FR"/>
              </w:rPr>
              <w:t>56 734</w:t>
            </w:r>
          </w:p>
        </w:tc>
        <w:tc>
          <w:tcPr>
            <w:tcW w:w="1200" w:type="dxa"/>
            <w:tcBorders>
              <w:top w:val="nil"/>
              <w:left w:val="nil"/>
              <w:bottom w:val="single" w:sz="8" w:space="0" w:color="auto"/>
              <w:right w:val="single" w:sz="8" w:space="0" w:color="auto"/>
            </w:tcBorders>
            <w:noWrap/>
            <w:vAlign w:val="bottom"/>
          </w:tcPr>
          <w:p w:rsidR="00740144" w:rsidRPr="0066308B" w:rsidRDefault="00740144" w:rsidP="0066308B">
            <w:pPr>
              <w:spacing w:after="0" w:line="240" w:lineRule="auto"/>
              <w:jc w:val="right"/>
              <w:rPr>
                <w:rFonts w:ascii="Arial" w:hAnsi="Arial" w:cs="Arial"/>
                <w:b/>
                <w:bCs/>
                <w:color w:val="4F6228"/>
                <w:sz w:val="20"/>
                <w:szCs w:val="20"/>
                <w:lang w:eastAsia="fr-FR"/>
              </w:rPr>
            </w:pPr>
            <w:r>
              <w:rPr>
                <w:rFonts w:ascii="Arial" w:hAnsi="Arial" w:cs="Arial"/>
                <w:b/>
                <w:bCs/>
                <w:color w:val="4F6228"/>
                <w:sz w:val="20"/>
                <w:szCs w:val="20"/>
                <w:lang w:eastAsia="fr-FR"/>
              </w:rPr>
              <w:t>94 098</w:t>
            </w:r>
          </w:p>
        </w:tc>
      </w:tr>
      <w:tr w:rsidR="00740144" w:rsidRPr="000857F0">
        <w:trPr>
          <w:trHeight w:val="270"/>
        </w:trPr>
        <w:tc>
          <w:tcPr>
            <w:tcW w:w="3460" w:type="dxa"/>
            <w:tcBorders>
              <w:top w:val="single" w:sz="8" w:space="0" w:color="auto"/>
              <w:left w:val="single" w:sz="8" w:space="0" w:color="auto"/>
              <w:bottom w:val="single" w:sz="8" w:space="0" w:color="auto"/>
              <w:right w:val="single" w:sz="8" w:space="0" w:color="auto"/>
            </w:tcBorders>
            <w:noWrap/>
            <w:vAlign w:val="bottom"/>
          </w:tcPr>
          <w:p w:rsidR="00740144" w:rsidRPr="0066308B" w:rsidRDefault="00740144" w:rsidP="0066308B">
            <w:pPr>
              <w:spacing w:after="0" w:line="240" w:lineRule="auto"/>
              <w:rPr>
                <w:rFonts w:ascii="Arial" w:hAnsi="Arial" w:cs="Arial"/>
                <w:sz w:val="20"/>
                <w:szCs w:val="20"/>
                <w:lang w:eastAsia="fr-FR"/>
              </w:rPr>
            </w:pPr>
            <w:r w:rsidRPr="0066308B">
              <w:rPr>
                <w:rFonts w:ascii="Arial" w:hAnsi="Arial" w:cs="Arial"/>
                <w:sz w:val="20"/>
                <w:szCs w:val="20"/>
                <w:lang w:eastAsia="fr-FR"/>
              </w:rPr>
              <w:t>Nombre de marchés clausés</w:t>
            </w:r>
          </w:p>
        </w:tc>
        <w:tc>
          <w:tcPr>
            <w:tcW w:w="1200" w:type="dxa"/>
            <w:tcBorders>
              <w:top w:val="nil"/>
              <w:left w:val="nil"/>
              <w:bottom w:val="single" w:sz="8" w:space="0" w:color="auto"/>
              <w:right w:val="single" w:sz="8" w:space="0" w:color="auto"/>
            </w:tcBorders>
            <w:noWrap/>
            <w:vAlign w:val="bottom"/>
          </w:tcPr>
          <w:p w:rsidR="00740144" w:rsidRPr="0066308B" w:rsidRDefault="00740144" w:rsidP="0066308B">
            <w:pPr>
              <w:spacing w:after="0" w:line="240" w:lineRule="auto"/>
              <w:jc w:val="right"/>
              <w:rPr>
                <w:rFonts w:ascii="Arial" w:hAnsi="Arial" w:cs="Arial"/>
                <w:sz w:val="20"/>
                <w:szCs w:val="20"/>
                <w:lang w:eastAsia="fr-FR"/>
              </w:rPr>
            </w:pPr>
            <w:r w:rsidRPr="0066308B">
              <w:rPr>
                <w:rFonts w:ascii="Arial" w:hAnsi="Arial" w:cs="Arial"/>
                <w:sz w:val="20"/>
                <w:szCs w:val="20"/>
                <w:lang w:eastAsia="fr-FR"/>
              </w:rPr>
              <w:t>5</w:t>
            </w:r>
          </w:p>
        </w:tc>
        <w:tc>
          <w:tcPr>
            <w:tcW w:w="1200" w:type="dxa"/>
            <w:tcBorders>
              <w:top w:val="nil"/>
              <w:left w:val="nil"/>
              <w:bottom w:val="single" w:sz="8" w:space="0" w:color="auto"/>
              <w:right w:val="single" w:sz="8" w:space="0" w:color="auto"/>
            </w:tcBorders>
            <w:noWrap/>
            <w:vAlign w:val="bottom"/>
          </w:tcPr>
          <w:p w:rsidR="00740144" w:rsidRPr="0066308B" w:rsidRDefault="00740144" w:rsidP="0066308B">
            <w:pPr>
              <w:spacing w:after="0" w:line="240" w:lineRule="auto"/>
              <w:jc w:val="right"/>
              <w:rPr>
                <w:rFonts w:ascii="Arial" w:hAnsi="Arial" w:cs="Arial"/>
                <w:sz w:val="20"/>
                <w:szCs w:val="20"/>
                <w:lang w:eastAsia="fr-FR"/>
              </w:rPr>
            </w:pPr>
            <w:r w:rsidRPr="0066308B">
              <w:rPr>
                <w:rFonts w:ascii="Arial" w:hAnsi="Arial" w:cs="Arial"/>
                <w:sz w:val="20"/>
                <w:szCs w:val="20"/>
                <w:lang w:eastAsia="fr-FR"/>
              </w:rPr>
              <w:t>14</w:t>
            </w:r>
          </w:p>
        </w:tc>
        <w:tc>
          <w:tcPr>
            <w:tcW w:w="1200" w:type="dxa"/>
            <w:tcBorders>
              <w:top w:val="nil"/>
              <w:left w:val="nil"/>
              <w:bottom w:val="single" w:sz="8" w:space="0" w:color="auto"/>
              <w:right w:val="single" w:sz="8" w:space="0" w:color="auto"/>
            </w:tcBorders>
            <w:noWrap/>
            <w:vAlign w:val="bottom"/>
          </w:tcPr>
          <w:p w:rsidR="00740144" w:rsidRPr="0066308B" w:rsidRDefault="00740144" w:rsidP="0066308B">
            <w:pPr>
              <w:spacing w:after="0" w:line="240" w:lineRule="auto"/>
              <w:jc w:val="right"/>
              <w:rPr>
                <w:rFonts w:ascii="Arial" w:hAnsi="Arial" w:cs="Arial"/>
                <w:sz w:val="20"/>
                <w:szCs w:val="20"/>
                <w:lang w:eastAsia="fr-FR"/>
              </w:rPr>
            </w:pPr>
            <w:r w:rsidRPr="0066308B">
              <w:rPr>
                <w:rFonts w:ascii="Arial" w:hAnsi="Arial" w:cs="Arial"/>
                <w:sz w:val="20"/>
                <w:szCs w:val="20"/>
                <w:lang w:eastAsia="fr-FR"/>
              </w:rPr>
              <w:t>19</w:t>
            </w:r>
          </w:p>
        </w:tc>
        <w:tc>
          <w:tcPr>
            <w:tcW w:w="1200" w:type="dxa"/>
            <w:tcBorders>
              <w:top w:val="nil"/>
              <w:left w:val="nil"/>
              <w:bottom w:val="single" w:sz="8" w:space="0" w:color="auto"/>
              <w:right w:val="single" w:sz="8" w:space="0" w:color="auto"/>
            </w:tcBorders>
            <w:shd w:val="clear" w:color="000000" w:fill="FFFFFF"/>
            <w:noWrap/>
            <w:vAlign w:val="bottom"/>
          </w:tcPr>
          <w:p w:rsidR="00740144" w:rsidRPr="0066308B" w:rsidRDefault="00740144" w:rsidP="0066308B">
            <w:pPr>
              <w:spacing w:after="0" w:line="240" w:lineRule="auto"/>
              <w:jc w:val="right"/>
              <w:rPr>
                <w:rFonts w:ascii="Arial" w:hAnsi="Arial" w:cs="Arial"/>
                <w:bCs/>
                <w:sz w:val="20"/>
                <w:szCs w:val="20"/>
                <w:lang w:eastAsia="fr-FR"/>
              </w:rPr>
            </w:pPr>
            <w:r w:rsidRPr="0066308B">
              <w:rPr>
                <w:rFonts w:ascii="Arial" w:hAnsi="Arial" w:cs="Arial"/>
                <w:bCs/>
                <w:sz w:val="20"/>
                <w:szCs w:val="20"/>
                <w:lang w:eastAsia="fr-FR"/>
              </w:rPr>
              <w:t>35</w:t>
            </w:r>
          </w:p>
        </w:tc>
        <w:tc>
          <w:tcPr>
            <w:tcW w:w="1200" w:type="dxa"/>
            <w:tcBorders>
              <w:top w:val="nil"/>
              <w:left w:val="nil"/>
              <w:bottom w:val="single" w:sz="8" w:space="0" w:color="auto"/>
              <w:right w:val="single" w:sz="8" w:space="0" w:color="auto"/>
            </w:tcBorders>
            <w:noWrap/>
            <w:vAlign w:val="bottom"/>
          </w:tcPr>
          <w:p w:rsidR="00740144" w:rsidRPr="0066308B" w:rsidRDefault="00740144" w:rsidP="0066308B">
            <w:pPr>
              <w:spacing w:after="0" w:line="240" w:lineRule="auto"/>
              <w:jc w:val="right"/>
              <w:rPr>
                <w:rFonts w:ascii="Arial" w:hAnsi="Arial" w:cs="Arial"/>
                <w:b/>
                <w:color w:val="4F6228"/>
                <w:sz w:val="20"/>
                <w:szCs w:val="20"/>
                <w:lang w:eastAsia="fr-FR"/>
              </w:rPr>
            </w:pPr>
            <w:r w:rsidRPr="003058B6">
              <w:rPr>
                <w:rFonts w:ascii="Arial" w:hAnsi="Arial" w:cs="Arial"/>
                <w:b/>
                <w:color w:val="4F6228"/>
                <w:sz w:val="20"/>
                <w:szCs w:val="20"/>
                <w:lang w:eastAsia="fr-FR"/>
              </w:rPr>
              <w:t>5</w:t>
            </w:r>
            <w:r w:rsidRPr="0066308B">
              <w:rPr>
                <w:rFonts w:ascii="Arial" w:hAnsi="Arial" w:cs="Arial"/>
                <w:b/>
                <w:color w:val="4F6228"/>
                <w:sz w:val="20"/>
                <w:szCs w:val="20"/>
                <w:lang w:eastAsia="fr-FR"/>
              </w:rPr>
              <w:t>3</w:t>
            </w:r>
          </w:p>
        </w:tc>
      </w:tr>
    </w:tbl>
    <w:p w:rsidR="00740144" w:rsidRDefault="00740144">
      <w:pPr>
        <w:rPr>
          <w:rFonts w:ascii="Franklin Gothic Book" w:hAnsi="Franklin Gothic Book"/>
          <w:color w:val="333333"/>
        </w:rPr>
      </w:pPr>
    </w:p>
    <w:p w:rsidR="00740144" w:rsidRPr="001B377A" w:rsidRDefault="00740144">
      <w:pPr>
        <w:rPr>
          <w:b/>
          <w:color w:val="333333"/>
          <w:sz w:val="24"/>
          <w:szCs w:val="24"/>
        </w:rPr>
      </w:pPr>
      <w:r w:rsidRPr="001B377A">
        <w:rPr>
          <w:b/>
          <w:color w:val="333333"/>
          <w:sz w:val="24"/>
          <w:szCs w:val="24"/>
        </w:rPr>
        <w:t>Pour l’année 2012 : une progression de 63% par rapport à l’exercice 2011.</w:t>
      </w:r>
    </w:p>
    <w:p w:rsidR="00740144" w:rsidRDefault="00771071">
      <w:pPr>
        <w:rPr>
          <w:rFonts w:ascii="Franklin Gothic Book" w:hAnsi="Franklin Gothic Book"/>
          <w:b/>
        </w:rPr>
      </w:pPr>
      <w:r>
        <w:rPr>
          <w:noProof/>
          <w:lang w:eastAsia="fr-FR"/>
        </w:rPr>
        <w:drawing>
          <wp:inline distT="0" distB="0" distL="0" distR="0">
            <wp:extent cx="4686300" cy="3517900"/>
            <wp:effectExtent l="0" t="0" r="0" b="0"/>
            <wp:docPr id="11" name="Graphique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40144" w:rsidRDefault="00740144">
      <w:pPr>
        <w:rPr>
          <w:noProof/>
          <w:lang w:eastAsia="fr-FR"/>
        </w:rPr>
      </w:pPr>
    </w:p>
    <w:p w:rsidR="00740144" w:rsidRDefault="00771071">
      <w:pPr>
        <w:rPr>
          <w:noProof/>
          <w:lang w:eastAsia="fr-FR"/>
        </w:rPr>
      </w:pPr>
      <w:r>
        <w:rPr>
          <w:noProof/>
          <w:lang w:eastAsia="fr-FR"/>
        </w:rPr>
        <w:drawing>
          <wp:inline distT="0" distB="0" distL="0" distR="0">
            <wp:extent cx="5765800" cy="5270500"/>
            <wp:effectExtent l="0" t="0" r="0" b="0"/>
            <wp:docPr id="12" name="Graphique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40144" w:rsidRPr="00EE3D4E" w:rsidRDefault="00740144">
      <w:pPr>
        <w:rPr>
          <w:rFonts w:ascii="Franklin Gothic Book" w:hAnsi="Franklin Gothic Book"/>
        </w:rPr>
      </w:pPr>
    </w:p>
    <w:p w:rsidR="00740144" w:rsidRPr="00FD6422" w:rsidRDefault="00740144" w:rsidP="008A50A0">
      <w:pPr>
        <w:jc w:val="both"/>
        <w:rPr>
          <w:b/>
          <w:sz w:val="24"/>
          <w:szCs w:val="24"/>
        </w:rPr>
      </w:pPr>
      <w:r w:rsidRPr="00C814CA">
        <w:rPr>
          <w:sz w:val="24"/>
          <w:szCs w:val="24"/>
        </w:rPr>
        <w:t xml:space="preserve">En 4 ans, plus de </w:t>
      </w:r>
      <w:r w:rsidRPr="004648A8">
        <w:rPr>
          <w:b/>
          <w:sz w:val="24"/>
          <w:szCs w:val="24"/>
          <w:u w:val="single"/>
        </w:rPr>
        <w:t xml:space="preserve">206 796 heures de travail </w:t>
      </w:r>
      <w:r w:rsidRPr="004648A8">
        <w:rPr>
          <w:sz w:val="24"/>
          <w:szCs w:val="24"/>
        </w:rPr>
        <w:t>réservées</w:t>
      </w:r>
      <w:r w:rsidRPr="00C814CA">
        <w:rPr>
          <w:sz w:val="24"/>
          <w:szCs w:val="24"/>
        </w:rPr>
        <w:t xml:space="preserve"> à un public rencontrant des difficultés d’insertion professionnelle. </w:t>
      </w:r>
      <w:r w:rsidRPr="00FD6422">
        <w:rPr>
          <w:b/>
          <w:sz w:val="24"/>
          <w:szCs w:val="24"/>
        </w:rPr>
        <w:t xml:space="preserve">Soit </w:t>
      </w:r>
      <w:r>
        <w:rPr>
          <w:b/>
          <w:sz w:val="24"/>
          <w:szCs w:val="24"/>
        </w:rPr>
        <w:t>114 Equivalents Temps Plein par an</w:t>
      </w:r>
      <w:r w:rsidRPr="00FD6422">
        <w:rPr>
          <w:b/>
          <w:sz w:val="24"/>
          <w:szCs w:val="24"/>
        </w:rPr>
        <w:t>.</w:t>
      </w:r>
    </w:p>
    <w:p w:rsidR="00740144" w:rsidRPr="00C814CA" w:rsidRDefault="00740144" w:rsidP="008A50A0">
      <w:pPr>
        <w:jc w:val="both"/>
        <w:rPr>
          <w:sz w:val="24"/>
          <w:szCs w:val="24"/>
        </w:rPr>
      </w:pPr>
      <w:r>
        <w:rPr>
          <w:sz w:val="24"/>
          <w:szCs w:val="24"/>
        </w:rPr>
        <w:t>L</w:t>
      </w:r>
      <w:r w:rsidRPr="00C814CA">
        <w:rPr>
          <w:sz w:val="24"/>
          <w:szCs w:val="24"/>
        </w:rPr>
        <w:t xml:space="preserve">a démarche clause insertion </w:t>
      </w:r>
      <w:r>
        <w:rPr>
          <w:sz w:val="24"/>
          <w:szCs w:val="24"/>
        </w:rPr>
        <w:t>connait u</w:t>
      </w:r>
      <w:r w:rsidRPr="00C814CA">
        <w:rPr>
          <w:sz w:val="24"/>
          <w:szCs w:val="24"/>
        </w:rPr>
        <w:t xml:space="preserve">n développement </w:t>
      </w:r>
      <w:r>
        <w:rPr>
          <w:sz w:val="24"/>
          <w:szCs w:val="24"/>
        </w:rPr>
        <w:t>exponentiel</w:t>
      </w:r>
      <w:r w:rsidRPr="00C814CA">
        <w:rPr>
          <w:sz w:val="24"/>
          <w:szCs w:val="24"/>
        </w:rPr>
        <w:t xml:space="preserve"> sur le terri</w:t>
      </w:r>
      <w:r>
        <w:rPr>
          <w:sz w:val="24"/>
          <w:szCs w:val="24"/>
        </w:rPr>
        <w:t>toire de Bordeaux</w:t>
      </w:r>
      <w:r w:rsidRPr="00C814CA">
        <w:rPr>
          <w:sz w:val="24"/>
          <w:szCs w:val="24"/>
        </w:rPr>
        <w:t>, en corrélation avec le nombre d’opérations et chantiers.</w:t>
      </w:r>
    </w:p>
    <w:p w:rsidR="00740144" w:rsidRPr="00C814CA" w:rsidRDefault="00740144" w:rsidP="00C00193">
      <w:pPr>
        <w:jc w:val="both"/>
        <w:rPr>
          <w:sz w:val="24"/>
          <w:szCs w:val="24"/>
        </w:rPr>
      </w:pPr>
      <w:r>
        <w:rPr>
          <w:sz w:val="24"/>
          <w:szCs w:val="24"/>
        </w:rPr>
        <w:t>Le PLIE de Bordeaux a consolidé</w:t>
      </w:r>
      <w:r w:rsidRPr="00C814CA">
        <w:rPr>
          <w:sz w:val="24"/>
          <w:szCs w:val="24"/>
        </w:rPr>
        <w:t xml:space="preserve"> son rôle de guichet unique territorial auprès d’un ensemble de donneurs d’ordres </w:t>
      </w:r>
      <w:r>
        <w:rPr>
          <w:sz w:val="24"/>
          <w:szCs w:val="24"/>
        </w:rPr>
        <w:t>et conforte ainsi</w:t>
      </w:r>
      <w:r w:rsidRPr="00C814CA">
        <w:rPr>
          <w:sz w:val="24"/>
          <w:szCs w:val="24"/>
        </w:rPr>
        <w:t xml:space="preserve"> leur volonté de systématiser cette démarche dans leur commande publique.</w:t>
      </w:r>
    </w:p>
    <w:p w:rsidR="00740144" w:rsidRDefault="00740144">
      <w:pPr>
        <w:rPr>
          <w:rFonts w:ascii="Franklin Gothic Book" w:hAnsi="Franklin Gothic Book"/>
        </w:rPr>
      </w:pPr>
      <w:r>
        <w:rPr>
          <w:rFonts w:ascii="Franklin Gothic Book" w:hAnsi="Franklin Gothic Book"/>
        </w:rPr>
        <w:br w:type="page"/>
      </w:r>
    </w:p>
    <w:p w:rsidR="00740144" w:rsidRDefault="00771071">
      <w:pPr>
        <w:rPr>
          <w:rFonts w:ascii="Franklin Gothic Book" w:hAnsi="Franklin Gothic Book"/>
        </w:rPr>
      </w:pPr>
      <w:r>
        <w:rPr>
          <w:noProof/>
          <w:lang w:eastAsia="fr-FR"/>
        </w:rPr>
        <w:drawing>
          <wp:inline distT="0" distB="0" distL="0" distR="0">
            <wp:extent cx="5754129" cy="1054926"/>
            <wp:effectExtent l="25400" t="25400" r="11671" b="0"/>
            <wp:docPr id="13" name="Diagramme 30"/>
            <wp:cNvGraphicFramePr>
              <a:graphicFrameLocks xmlns:a="http://schemas.openxmlformats.org/drawingml/2006/main"/>
            </wp:cNvGraphicFramePr>
            <a:graphic xmlns:a="http://schemas.openxmlformats.org/drawingml/2006/main">
              <a:graphicData uri="http://schemas.openxmlformats.org/drawingml/2006/diagram">
                <a:relIds xmlns:dgm="http://schemas.openxmlformats.org/drawingml/2006/diagram" xmlns:r="http://schemas.openxmlformats.org/officeDocument/2006/relationships" r:dm="rId34" r:lo="rId35" r:qs="rId36" r:cs="rId37"/>
              </a:graphicData>
            </a:graphic>
          </wp:inline>
        </w:drawing>
      </w:r>
    </w:p>
    <w:p w:rsidR="00740144" w:rsidRPr="00FE5527" w:rsidRDefault="00740144" w:rsidP="003A1D1C">
      <w:pPr>
        <w:suppressAutoHyphens/>
        <w:spacing w:after="0" w:line="240" w:lineRule="auto"/>
        <w:jc w:val="both"/>
        <w:rPr>
          <w:b/>
          <w:sz w:val="24"/>
          <w:szCs w:val="24"/>
          <w:lang w:eastAsia="ar-SA"/>
        </w:rPr>
      </w:pPr>
      <w:r w:rsidRPr="00C814CA">
        <w:rPr>
          <w:sz w:val="24"/>
          <w:szCs w:val="24"/>
          <w:lang w:eastAsia="ar-SA"/>
        </w:rPr>
        <w:t xml:space="preserve">En 2012, le PLIE de Bordeaux assure la gestion de la démarche clause insertion auprès de </w:t>
      </w:r>
      <w:r w:rsidRPr="00FE5527">
        <w:rPr>
          <w:b/>
          <w:sz w:val="24"/>
          <w:szCs w:val="24"/>
          <w:lang w:eastAsia="ar-SA"/>
        </w:rPr>
        <w:t xml:space="preserve">10 donneurs d’ordre publics et privés. </w:t>
      </w:r>
    </w:p>
    <w:p w:rsidR="00740144" w:rsidRDefault="00740144" w:rsidP="00225887">
      <w:pPr>
        <w:rPr>
          <w:rFonts w:ascii="Franklin Gothic Book" w:hAnsi="Franklin Gothic Book"/>
        </w:rPr>
      </w:pPr>
    </w:p>
    <w:p w:rsidR="00740144" w:rsidRDefault="00771071" w:rsidP="00225887">
      <w:pPr>
        <w:rPr>
          <w:rFonts w:ascii="Franklin Gothic Book" w:hAnsi="Franklin Gothic Book"/>
        </w:rPr>
      </w:pPr>
      <w:r>
        <w:rPr>
          <w:i/>
          <w:noProof/>
          <w:sz w:val="20"/>
          <w:szCs w:val="20"/>
          <w:lang w:eastAsia="fr-FR"/>
        </w:rPr>
        <w:drawing>
          <wp:inline distT="0" distB="0" distL="0" distR="0">
            <wp:extent cx="6565900" cy="3111500"/>
            <wp:effectExtent l="0" t="0" r="0" b="0"/>
            <wp:docPr id="14" name="Graphique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740144" w:rsidRDefault="00740144" w:rsidP="000E59D6">
      <w:pPr>
        <w:ind w:left="709"/>
        <w:rPr>
          <w:rFonts w:ascii="Franklin Gothic Book" w:hAnsi="Franklin Gothic Book"/>
        </w:rPr>
      </w:pPr>
    </w:p>
    <w:tbl>
      <w:tblPr>
        <w:tblW w:w="6384" w:type="dxa"/>
        <w:jc w:val="center"/>
        <w:tblBorders>
          <w:top w:val="single" w:sz="18" w:space="0" w:color="auto"/>
          <w:bottom w:val="single" w:sz="18" w:space="0" w:color="auto"/>
        </w:tblBorders>
        <w:tblLook w:val="00A0"/>
      </w:tblPr>
      <w:tblGrid>
        <w:gridCol w:w="3700"/>
        <w:gridCol w:w="2684"/>
      </w:tblGrid>
      <w:tr w:rsidR="00740144" w:rsidRPr="000857F0">
        <w:trPr>
          <w:trHeight w:val="510"/>
          <w:jc w:val="center"/>
        </w:trPr>
        <w:tc>
          <w:tcPr>
            <w:tcW w:w="3700" w:type="dxa"/>
            <w:tcBorders>
              <w:top w:val="single" w:sz="18" w:space="0" w:color="auto"/>
              <w:left w:val="nil"/>
              <w:bottom w:val="single" w:sz="18" w:space="0" w:color="auto"/>
              <w:right w:val="nil"/>
            </w:tcBorders>
            <w:shd w:val="clear" w:color="auto" w:fill="9BBB59"/>
          </w:tcPr>
          <w:p w:rsidR="00740144" w:rsidRPr="000857F0" w:rsidRDefault="00740144" w:rsidP="000857F0">
            <w:pPr>
              <w:spacing w:after="0" w:line="240" w:lineRule="auto"/>
              <w:rPr>
                <w:rFonts w:cs="Arial"/>
                <w:b/>
                <w:bCs/>
                <w:color w:val="000000"/>
                <w:lang w:eastAsia="fr-FR"/>
              </w:rPr>
            </w:pPr>
            <w:r w:rsidRPr="000857F0">
              <w:rPr>
                <w:rFonts w:cs="Arial"/>
                <w:b/>
                <w:bCs/>
                <w:color w:val="000000"/>
                <w:lang w:eastAsia="fr-FR"/>
              </w:rPr>
              <w:t>Maitres d'ouvrage</w:t>
            </w:r>
          </w:p>
        </w:tc>
        <w:tc>
          <w:tcPr>
            <w:tcW w:w="2684" w:type="dxa"/>
            <w:tcBorders>
              <w:top w:val="single" w:sz="18" w:space="0" w:color="auto"/>
              <w:left w:val="nil"/>
              <w:bottom w:val="single" w:sz="18" w:space="0" w:color="auto"/>
              <w:right w:val="nil"/>
            </w:tcBorders>
            <w:shd w:val="clear" w:color="auto" w:fill="9BBB59"/>
          </w:tcPr>
          <w:p w:rsidR="00740144" w:rsidRPr="000857F0" w:rsidRDefault="00740144" w:rsidP="000857F0">
            <w:pPr>
              <w:spacing w:after="0" w:line="240" w:lineRule="auto"/>
              <w:rPr>
                <w:rFonts w:cs="Arial"/>
                <w:b/>
                <w:bCs/>
                <w:color w:val="000000"/>
                <w:lang w:eastAsia="fr-FR"/>
              </w:rPr>
            </w:pPr>
            <w:r w:rsidRPr="000857F0">
              <w:rPr>
                <w:rFonts w:cs="Arial"/>
                <w:b/>
                <w:bCs/>
                <w:color w:val="000000"/>
                <w:lang w:eastAsia="fr-FR"/>
              </w:rPr>
              <w:t>Nb heures réalisées</w:t>
            </w:r>
          </w:p>
        </w:tc>
      </w:tr>
      <w:tr w:rsidR="00740144" w:rsidRPr="000857F0">
        <w:trPr>
          <w:trHeight w:val="255"/>
          <w:jc w:val="center"/>
        </w:trPr>
        <w:tc>
          <w:tcPr>
            <w:tcW w:w="3700" w:type="dxa"/>
            <w:tcBorders>
              <w:left w:val="nil"/>
              <w:bottom w:val="nil"/>
              <w:right w:val="nil"/>
            </w:tcBorders>
            <w:shd w:val="clear" w:color="auto" w:fill="9BBB59"/>
          </w:tcPr>
          <w:p w:rsidR="00740144" w:rsidRPr="000857F0" w:rsidRDefault="00740144" w:rsidP="000857F0">
            <w:pPr>
              <w:spacing w:after="0" w:line="240" w:lineRule="auto"/>
              <w:rPr>
                <w:rFonts w:cs="Arial"/>
                <w:b/>
                <w:bCs/>
                <w:color w:val="000000"/>
                <w:lang w:eastAsia="fr-FR"/>
              </w:rPr>
            </w:pPr>
            <w:r w:rsidRPr="000857F0">
              <w:rPr>
                <w:rFonts w:cs="Arial"/>
                <w:b/>
                <w:bCs/>
                <w:color w:val="000000"/>
                <w:lang w:eastAsia="fr-FR"/>
              </w:rPr>
              <w:t>IN'CITE/PNRQAD</w:t>
            </w:r>
          </w:p>
        </w:tc>
        <w:tc>
          <w:tcPr>
            <w:tcW w:w="2684" w:type="dxa"/>
            <w:shd w:val="clear" w:color="auto" w:fill="D8D8D8"/>
          </w:tcPr>
          <w:p w:rsidR="00740144" w:rsidRPr="000857F0" w:rsidRDefault="00740144" w:rsidP="000857F0">
            <w:pPr>
              <w:spacing w:after="0" w:line="240" w:lineRule="auto"/>
              <w:rPr>
                <w:rFonts w:cs="Arial"/>
                <w:color w:val="000000"/>
                <w:lang w:eastAsia="fr-FR"/>
              </w:rPr>
            </w:pPr>
            <w:r w:rsidRPr="000857F0">
              <w:rPr>
                <w:rFonts w:cs="Arial"/>
                <w:color w:val="000000"/>
                <w:lang w:eastAsia="fr-FR"/>
              </w:rPr>
              <w:t>590</w:t>
            </w:r>
          </w:p>
        </w:tc>
      </w:tr>
      <w:tr w:rsidR="00740144" w:rsidRPr="000857F0">
        <w:trPr>
          <w:trHeight w:val="255"/>
          <w:jc w:val="center"/>
        </w:trPr>
        <w:tc>
          <w:tcPr>
            <w:tcW w:w="3700" w:type="dxa"/>
            <w:tcBorders>
              <w:left w:val="nil"/>
              <w:bottom w:val="nil"/>
              <w:right w:val="nil"/>
            </w:tcBorders>
            <w:shd w:val="clear" w:color="auto" w:fill="9BBB59"/>
          </w:tcPr>
          <w:p w:rsidR="00740144" w:rsidRPr="000857F0" w:rsidRDefault="00740144" w:rsidP="000857F0">
            <w:pPr>
              <w:spacing w:after="0" w:line="240" w:lineRule="auto"/>
              <w:rPr>
                <w:rFonts w:cs="Arial"/>
                <w:b/>
                <w:bCs/>
                <w:color w:val="000000"/>
                <w:lang w:eastAsia="fr-FR"/>
              </w:rPr>
            </w:pPr>
            <w:r w:rsidRPr="000857F0">
              <w:rPr>
                <w:rFonts w:cs="Arial"/>
                <w:b/>
                <w:bCs/>
                <w:color w:val="000000"/>
                <w:lang w:eastAsia="fr-FR"/>
              </w:rPr>
              <w:t>UNIVERSITE DE BORDEAUX</w:t>
            </w:r>
          </w:p>
        </w:tc>
        <w:tc>
          <w:tcPr>
            <w:tcW w:w="2684" w:type="dxa"/>
          </w:tcPr>
          <w:p w:rsidR="00740144" w:rsidRPr="000857F0" w:rsidRDefault="00740144" w:rsidP="000857F0">
            <w:pPr>
              <w:spacing w:after="0" w:line="240" w:lineRule="auto"/>
              <w:rPr>
                <w:rFonts w:cs="Arial"/>
                <w:color w:val="000000"/>
                <w:lang w:eastAsia="fr-FR"/>
              </w:rPr>
            </w:pPr>
            <w:r w:rsidRPr="000857F0">
              <w:rPr>
                <w:rFonts w:cs="Arial"/>
                <w:color w:val="000000"/>
                <w:lang w:eastAsia="fr-FR"/>
              </w:rPr>
              <w:t>405</w:t>
            </w:r>
          </w:p>
        </w:tc>
      </w:tr>
      <w:tr w:rsidR="00740144" w:rsidRPr="000857F0">
        <w:trPr>
          <w:trHeight w:val="255"/>
          <w:jc w:val="center"/>
        </w:trPr>
        <w:tc>
          <w:tcPr>
            <w:tcW w:w="3700" w:type="dxa"/>
            <w:tcBorders>
              <w:left w:val="nil"/>
              <w:bottom w:val="nil"/>
              <w:right w:val="nil"/>
            </w:tcBorders>
            <w:shd w:val="clear" w:color="auto" w:fill="9BBB59"/>
          </w:tcPr>
          <w:p w:rsidR="00740144" w:rsidRPr="000857F0" w:rsidRDefault="00740144" w:rsidP="000857F0">
            <w:pPr>
              <w:spacing w:after="0" w:line="240" w:lineRule="auto"/>
              <w:rPr>
                <w:rFonts w:cs="Arial"/>
                <w:b/>
                <w:bCs/>
                <w:color w:val="000000"/>
                <w:lang w:eastAsia="fr-FR"/>
              </w:rPr>
            </w:pPr>
            <w:r w:rsidRPr="000857F0">
              <w:rPr>
                <w:rFonts w:cs="Arial"/>
                <w:b/>
                <w:bCs/>
                <w:color w:val="000000"/>
                <w:lang w:eastAsia="fr-FR"/>
              </w:rPr>
              <w:t>MINDEF/Etat</w:t>
            </w:r>
          </w:p>
        </w:tc>
        <w:tc>
          <w:tcPr>
            <w:tcW w:w="2684" w:type="dxa"/>
            <w:shd w:val="clear" w:color="auto" w:fill="D8D8D8"/>
          </w:tcPr>
          <w:p w:rsidR="00740144" w:rsidRPr="000857F0" w:rsidRDefault="00740144" w:rsidP="000857F0">
            <w:pPr>
              <w:spacing w:after="0" w:line="240" w:lineRule="auto"/>
              <w:rPr>
                <w:rFonts w:cs="Arial"/>
                <w:color w:val="000000"/>
                <w:lang w:eastAsia="fr-FR"/>
              </w:rPr>
            </w:pPr>
            <w:r w:rsidRPr="000857F0">
              <w:rPr>
                <w:rFonts w:cs="Arial"/>
                <w:color w:val="000000"/>
                <w:lang w:eastAsia="fr-FR"/>
              </w:rPr>
              <w:t>1 331</w:t>
            </w:r>
          </w:p>
        </w:tc>
      </w:tr>
      <w:tr w:rsidR="00740144" w:rsidRPr="000857F0">
        <w:trPr>
          <w:trHeight w:val="255"/>
          <w:jc w:val="center"/>
        </w:trPr>
        <w:tc>
          <w:tcPr>
            <w:tcW w:w="3700" w:type="dxa"/>
            <w:tcBorders>
              <w:left w:val="nil"/>
              <w:bottom w:val="nil"/>
              <w:right w:val="nil"/>
            </w:tcBorders>
            <w:shd w:val="clear" w:color="auto" w:fill="9BBB59"/>
          </w:tcPr>
          <w:p w:rsidR="00740144" w:rsidRPr="000857F0" w:rsidRDefault="00740144" w:rsidP="000857F0">
            <w:pPr>
              <w:spacing w:after="0" w:line="240" w:lineRule="auto"/>
              <w:rPr>
                <w:rFonts w:cs="Arial"/>
                <w:b/>
                <w:bCs/>
                <w:color w:val="000000"/>
                <w:lang w:eastAsia="fr-FR"/>
              </w:rPr>
            </w:pPr>
            <w:r w:rsidRPr="000857F0">
              <w:rPr>
                <w:rFonts w:cs="Arial"/>
                <w:b/>
                <w:bCs/>
                <w:color w:val="000000"/>
                <w:lang w:eastAsia="fr-FR"/>
              </w:rPr>
              <w:t>SNCF</w:t>
            </w:r>
          </w:p>
        </w:tc>
        <w:tc>
          <w:tcPr>
            <w:tcW w:w="2684" w:type="dxa"/>
          </w:tcPr>
          <w:p w:rsidR="00740144" w:rsidRPr="000857F0" w:rsidRDefault="00740144" w:rsidP="000857F0">
            <w:pPr>
              <w:spacing w:after="0" w:line="240" w:lineRule="auto"/>
              <w:rPr>
                <w:rFonts w:cs="Arial"/>
                <w:color w:val="000000"/>
                <w:lang w:eastAsia="fr-FR"/>
              </w:rPr>
            </w:pPr>
            <w:r w:rsidRPr="000857F0">
              <w:rPr>
                <w:rFonts w:cs="Arial"/>
                <w:color w:val="000000"/>
                <w:lang w:eastAsia="fr-FR"/>
              </w:rPr>
              <w:t>2 546</w:t>
            </w:r>
          </w:p>
        </w:tc>
      </w:tr>
      <w:tr w:rsidR="00740144" w:rsidRPr="000857F0">
        <w:trPr>
          <w:trHeight w:val="255"/>
          <w:jc w:val="center"/>
        </w:trPr>
        <w:tc>
          <w:tcPr>
            <w:tcW w:w="3700" w:type="dxa"/>
            <w:tcBorders>
              <w:left w:val="nil"/>
              <w:bottom w:val="nil"/>
              <w:right w:val="nil"/>
            </w:tcBorders>
            <w:shd w:val="clear" w:color="auto" w:fill="9BBB59"/>
          </w:tcPr>
          <w:p w:rsidR="00740144" w:rsidRPr="000857F0" w:rsidRDefault="00740144" w:rsidP="000857F0">
            <w:pPr>
              <w:spacing w:after="0" w:line="240" w:lineRule="auto"/>
              <w:rPr>
                <w:rFonts w:cs="Arial"/>
                <w:b/>
                <w:bCs/>
                <w:color w:val="000000"/>
                <w:lang w:eastAsia="fr-FR"/>
              </w:rPr>
            </w:pPr>
            <w:r w:rsidRPr="000857F0">
              <w:rPr>
                <w:rFonts w:cs="Arial"/>
                <w:b/>
                <w:bCs/>
                <w:color w:val="000000"/>
                <w:lang w:eastAsia="fr-FR"/>
              </w:rPr>
              <w:t>GROUPE EVOLUTION/DARWIN</w:t>
            </w:r>
          </w:p>
        </w:tc>
        <w:tc>
          <w:tcPr>
            <w:tcW w:w="2684" w:type="dxa"/>
            <w:shd w:val="clear" w:color="auto" w:fill="D8D8D8"/>
          </w:tcPr>
          <w:p w:rsidR="00740144" w:rsidRPr="000857F0" w:rsidRDefault="00740144" w:rsidP="000857F0">
            <w:pPr>
              <w:spacing w:after="0" w:line="240" w:lineRule="auto"/>
              <w:rPr>
                <w:rFonts w:cs="Arial"/>
                <w:color w:val="000000"/>
                <w:lang w:eastAsia="fr-FR"/>
              </w:rPr>
            </w:pPr>
            <w:r w:rsidRPr="000857F0">
              <w:rPr>
                <w:rFonts w:cs="Arial"/>
                <w:color w:val="000000"/>
                <w:lang w:eastAsia="fr-FR"/>
              </w:rPr>
              <w:t>3 162</w:t>
            </w:r>
          </w:p>
        </w:tc>
      </w:tr>
      <w:tr w:rsidR="00740144" w:rsidRPr="000857F0">
        <w:trPr>
          <w:trHeight w:val="510"/>
          <w:jc w:val="center"/>
        </w:trPr>
        <w:tc>
          <w:tcPr>
            <w:tcW w:w="3700" w:type="dxa"/>
            <w:tcBorders>
              <w:left w:val="nil"/>
              <w:bottom w:val="nil"/>
              <w:right w:val="nil"/>
            </w:tcBorders>
            <w:shd w:val="clear" w:color="auto" w:fill="9BBB59"/>
          </w:tcPr>
          <w:p w:rsidR="00740144" w:rsidRPr="000857F0" w:rsidRDefault="00740144" w:rsidP="000857F0">
            <w:pPr>
              <w:spacing w:after="0" w:line="240" w:lineRule="auto"/>
              <w:rPr>
                <w:rFonts w:cs="Arial"/>
                <w:b/>
                <w:bCs/>
                <w:color w:val="000000"/>
                <w:lang w:eastAsia="fr-FR"/>
              </w:rPr>
            </w:pPr>
            <w:r w:rsidRPr="000857F0">
              <w:rPr>
                <w:rFonts w:cs="Arial"/>
                <w:b/>
                <w:bCs/>
                <w:color w:val="000000"/>
                <w:lang w:eastAsia="fr-FR"/>
              </w:rPr>
              <w:t>COMMUNAUTE URBAINE DE BORDEAUX</w:t>
            </w:r>
          </w:p>
        </w:tc>
        <w:tc>
          <w:tcPr>
            <w:tcW w:w="2684" w:type="dxa"/>
          </w:tcPr>
          <w:p w:rsidR="00740144" w:rsidRPr="000857F0" w:rsidRDefault="00740144" w:rsidP="000857F0">
            <w:pPr>
              <w:spacing w:after="0" w:line="240" w:lineRule="auto"/>
              <w:rPr>
                <w:rFonts w:cs="Arial"/>
                <w:color w:val="000000"/>
                <w:lang w:eastAsia="fr-FR"/>
              </w:rPr>
            </w:pPr>
            <w:r w:rsidRPr="000857F0">
              <w:rPr>
                <w:rFonts w:cs="Arial"/>
                <w:color w:val="000000"/>
                <w:lang w:eastAsia="fr-FR"/>
              </w:rPr>
              <w:t>4 194</w:t>
            </w:r>
          </w:p>
        </w:tc>
      </w:tr>
      <w:tr w:rsidR="00740144" w:rsidRPr="000857F0">
        <w:trPr>
          <w:trHeight w:val="255"/>
          <w:jc w:val="center"/>
        </w:trPr>
        <w:tc>
          <w:tcPr>
            <w:tcW w:w="3700" w:type="dxa"/>
            <w:tcBorders>
              <w:left w:val="nil"/>
              <w:bottom w:val="nil"/>
              <w:right w:val="nil"/>
            </w:tcBorders>
            <w:shd w:val="clear" w:color="auto" w:fill="9BBB59"/>
          </w:tcPr>
          <w:p w:rsidR="00740144" w:rsidRPr="000857F0" w:rsidRDefault="00740144" w:rsidP="000857F0">
            <w:pPr>
              <w:spacing w:after="0" w:line="240" w:lineRule="auto"/>
              <w:rPr>
                <w:rFonts w:cs="Arial"/>
                <w:b/>
                <w:bCs/>
                <w:color w:val="000000"/>
                <w:lang w:eastAsia="fr-FR"/>
              </w:rPr>
            </w:pPr>
            <w:r w:rsidRPr="000857F0">
              <w:rPr>
                <w:rFonts w:cs="Arial"/>
                <w:b/>
                <w:bCs/>
                <w:color w:val="000000"/>
                <w:lang w:eastAsia="fr-FR"/>
              </w:rPr>
              <w:t>CONSEIL REGIONAL D'AQUITAINE</w:t>
            </w:r>
          </w:p>
        </w:tc>
        <w:tc>
          <w:tcPr>
            <w:tcW w:w="2684" w:type="dxa"/>
            <w:shd w:val="clear" w:color="auto" w:fill="D8D8D8"/>
          </w:tcPr>
          <w:p w:rsidR="00740144" w:rsidRPr="000857F0" w:rsidRDefault="00740144" w:rsidP="000857F0">
            <w:pPr>
              <w:spacing w:after="0" w:line="240" w:lineRule="auto"/>
              <w:rPr>
                <w:rFonts w:cs="Arial"/>
                <w:color w:val="000000"/>
                <w:lang w:eastAsia="fr-FR"/>
              </w:rPr>
            </w:pPr>
            <w:r w:rsidRPr="000857F0">
              <w:rPr>
                <w:rFonts w:cs="Arial"/>
                <w:color w:val="000000"/>
                <w:lang w:eastAsia="fr-FR"/>
              </w:rPr>
              <w:t>5 798</w:t>
            </w:r>
          </w:p>
        </w:tc>
      </w:tr>
      <w:tr w:rsidR="00740144" w:rsidRPr="000857F0">
        <w:trPr>
          <w:trHeight w:val="255"/>
          <w:jc w:val="center"/>
        </w:trPr>
        <w:tc>
          <w:tcPr>
            <w:tcW w:w="3700" w:type="dxa"/>
            <w:tcBorders>
              <w:left w:val="nil"/>
              <w:bottom w:val="nil"/>
              <w:right w:val="nil"/>
            </w:tcBorders>
            <w:shd w:val="clear" w:color="auto" w:fill="9BBB59"/>
          </w:tcPr>
          <w:p w:rsidR="00740144" w:rsidRPr="000857F0" w:rsidRDefault="00740144" w:rsidP="000857F0">
            <w:pPr>
              <w:spacing w:after="0" w:line="240" w:lineRule="auto"/>
              <w:rPr>
                <w:rFonts w:cs="Arial"/>
                <w:b/>
                <w:bCs/>
                <w:color w:val="000000"/>
                <w:lang w:eastAsia="fr-FR"/>
              </w:rPr>
            </w:pPr>
            <w:r w:rsidRPr="000857F0">
              <w:rPr>
                <w:rFonts w:cs="Arial"/>
                <w:b/>
                <w:bCs/>
                <w:color w:val="000000"/>
                <w:lang w:eastAsia="fr-FR"/>
              </w:rPr>
              <w:t>DOMOFRANCE</w:t>
            </w:r>
          </w:p>
        </w:tc>
        <w:tc>
          <w:tcPr>
            <w:tcW w:w="2684" w:type="dxa"/>
          </w:tcPr>
          <w:p w:rsidR="00740144" w:rsidRPr="000857F0" w:rsidRDefault="00740144" w:rsidP="000857F0">
            <w:pPr>
              <w:spacing w:after="0" w:line="240" w:lineRule="auto"/>
              <w:rPr>
                <w:rFonts w:cs="Arial"/>
                <w:color w:val="000000"/>
                <w:lang w:eastAsia="fr-FR"/>
              </w:rPr>
            </w:pPr>
            <w:r w:rsidRPr="000857F0">
              <w:rPr>
                <w:rFonts w:cs="Arial"/>
                <w:color w:val="000000"/>
                <w:lang w:eastAsia="fr-FR"/>
              </w:rPr>
              <w:t>8 421</w:t>
            </w:r>
          </w:p>
        </w:tc>
      </w:tr>
      <w:tr w:rsidR="00740144" w:rsidRPr="000857F0">
        <w:trPr>
          <w:trHeight w:val="255"/>
          <w:jc w:val="center"/>
        </w:trPr>
        <w:tc>
          <w:tcPr>
            <w:tcW w:w="3700" w:type="dxa"/>
            <w:tcBorders>
              <w:left w:val="nil"/>
              <w:bottom w:val="nil"/>
              <w:right w:val="nil"/>
            </w:tcBorders>
            <w:shd w:val="clear" w:color="auto" w:fill="9BBB59"/>
          </w:tcPr>
          <w:p w:rsidR="00740144" w:rsidRPr="000857F0" w:rsidRDefault="00740144" w:rsidP="000857F0">
            <w:pPr>
              <w:spacing w:after="0" w:line="240" w:lineRule="auto"/>
              <w:rPr>
                <w:rFonts w:cs="Arial"/>
                <w:b/>
                <w:bCs/>
                <w:color w:val="000000"/>
                <w:lang w:eastAsia="fr-FR"/>
              </w:rPr>
            </w:pPr>
            <w:r w:rsidRPr="000857F0">
              <w:rPr>
                <w:rFonts w:cs="Arial"/>
                <w:b/>
                <w:bCs/>
                <w:color w:val="000000"/>
                <w:lang w:eastAsia="fr-FR"/>
              </w:rPr>
              <w:t>AQUITANIS</w:t>
            </w:r>
          </w:p>
        </w:tc>
        <w:tc>
          <w:tcPr>
            <w:tcW w:w="2684" w:type="dxa"/>
            <w:shd w:val="clear" w:color="auto" w:fill="D8D8D8"/>
          </w:tcPr>
          <w:p w:rsidR="00740144" w:rsidRPr="000857F0" w:rsidRDefault="00740144" w:rsidP="000857F0">
            <w:pPr>
              <w:spacing w:after="0" w:line="240" w:lineRule="auto"/>
              <w:rPr>
                <w:rFonts w:cs="Arial"/>
                <w:color w:val="000000"/>
                <w:lang w:eastAsia="fr-FR"/>
              </w:rPr>
            </w:pPr>
            <w:r w:rsidRPr="000857F0">
              <w:rPr>
                <w:rFonts w:cs="Arial"/>
                <w:color w:val="000000"/>
                <w:lang w:eastAsia="fr-FR"/>
              </w:rPr>
              <w:t>13 989</w:t>
            </w:r>
          </w:p>
        </w:tc>
      </w:tr>
      <w:tr w:rsidR="00740144" w:rsidRPr="000857F0">
        <w:trPr>
          <w:trHeight w:val="255"/>
          <w:jc w:val="center"/>
        </w:trPr>
        <w:tc>
          <w:tcPr>
            <w:tcW w:w="3700" w:type="dxa"/>
            <w:tcBorders>
              <w:left w:val="nil"/>
              <w:bottom w:val="nil"/>
              <w:right w:val="nil"/>
            </w:tcBorders>
            <w:shd w:val="clear" w:color="auto" w:fill="9BBB59"/>
          </w:tcPr>
          <w:p w:rsidR="00740144" w:rsidRPr="000857F0" w:rsidRDefault="00740144" w:rsidP="000857F0">
            <w:pPr>
              <w:spacing w:after="0" w:line="240" w:lineRule="auto"/>
              <w:rPr>
                <w:rFonts w:cs="Arial"/>
                <w:b/>
                <w:bCs/>
                <w:color w:val="000000"/>
                <w:lang w:eastAsia="fr-FR"/>
              </w:rPr>
            </w:pPr>
            <w:r w:rsidRPr="000857F0">
              <w:rPr>
                <w:rFonts w:cs="Arial"/>
                <w:b/>
                <w:bCs/>
                <w:color w:val="000000"/>
                <w:lang w:eastAsia="fr-FR"/>
              </w:rPr>
              <w:t>MAIRIE DE BORDEAUX</w:t>
            </w:r>
          </w:p>
        </w:tc>
        <w:tc>
          <w:tcPr>
            <w:tcW w:w="2684" w:type="dxa"/>
          </w:tcPr>
          <w:p w:rsidR="00740144" w:rsidRPr="000857F0" w:rsidRDefault="00740144" w:rsidP="000857F0">
            <w:pPr>
              <w:spacing w:after="0" w:line="240" w:lineRule="auto"/>
              <w:rPr>
                <w:rFonts w:cs="Arial"/>
                <w:color w:val="000000"/>
                <w:lang w:eastAsia="fr-FR"/>
              </w:rPr>
            </w:pPr>
            <w:r w:rsidRPr="000857F0">
              <w:rPr>
                <w:rFonts w:cs="Arial"/>
                <w:color w:val="000000"/>
                <w:lang w:eastAsia="fr-FR"/>
              </w:rPr>
              <w:t>53 662</w:t>
            </w:r>
          </w:p>
        </w:tc>
      </w:tr>
      <w:tr w:rsidR="00740144" w:rsidRPr="000857F0">
        <w:trPr>
          <w:trHeight w:val="255"/>
          <w:jc w:val="center"/>
        </w:trPr>
        <w:tc>
          <w:tcPr>
            <w:tcW w:w="3700" w:type="dxa"/>
            <w:tcBorders>
              <w:left w:val="nil"/>
              <w:bottom w:val="single" w:sz="18" w:space="0" w:color="auto"/>
              <w:right w:val="nil"/>
            </w:tcBorders>
            <w:shd w:val="clear" w:color="auto" w:fill="4F6228"/>
          </w:tcPr>
          <w:p w:rsidR="00740144" w:rsidRPr="000857F0" w:rsidRDefault="00740144" w:rsidP="000857F0">
            <w:pPr>
              <w:spacing w:after="0" w:line="240" w:lineRule="auto"/>
              <w:rPr>
                <w:rFonts w:cs="Arial"/>
                <w:b/>
                <w:bCs/>
                <w:color w:val="000000"/>
                <w:lang w:eastAsia="fr-FR"/>
              </w:rPr>
            </w:pPr>
            <w:r w:rsidRPr="000857F0">
              <w:rPr>
                <w:rFonts w:cs="Arial"/>
                <w:b/>
                <w:bCs/>
                <w:color w:val="000000"/>
                <w:lang w:eastAsia="fr-FR"/>
              </w:rPr>
              <w:t>TOTAL</w:t>
            </w:r>
          </w:p>
        </w:tc>
        <w:tc>
          <w:tcPr>
            <w:tcW w:w="2684" w:type="dxa"/>
            <w:tcBorders>
              <w:bottom w:val="single" w:sz="18" w:space="0" w:color="auto"/>
            </w:tcBorders>
            <w:shd w:val="clear" w:color="auto" w:fill="4F6228"/>
          </w:tcPr>
          <w:p w:rsidR="00740144" w:rsidRPr="000857F0" w:rsidRDefault="00740144" w:rsidP="000857F0">
            <w:pPr>
              <w:spacing w:after="0" w:line="240" w:lineRule="auto"/>
              <w:rPr>
                <w:rFonts w:cs="Arial"/>
                <w:b/>
                <w:bCs/>
                <w:color w:val="000000"/>
                <w:lang w:eastAsia="fr-FR"/>
              </w:rPr>
            </w:pPr>
            <w:r w:rsidRPr="000857F0">
              <w:rPr>
                <w:rFonts w:cs="Arial"/>
                <w:b/>
                <w:bCs/>
                <w:color w:val="000000"/>
                <w:lang w:eastAsia="fr-FR"/>
              </w:rPr>
              <w:t>94 098</w:t>
            </w:r>
          </w:p>
        </w:tc>
      </w:tr>
    </w:tbl>
    <w:p w:rsidR="00740144" w:rsidRDefault="00740144">
      <w:pPr>
        <w:rPr>
          <w:rFonts w:ascii="Franklin Gothic Book" w:hAnsi="Franklin Gothic Book"/>
        </w:rPr>
      </w:pPr>
    </w:p>
    <w:p w:rsidR="00740144" w:rsidRDefault="00740144">
      <w:pPr>
        <w:rPr>
          <w:rFonts w:ascii="Franklin Gothic Book" w:hAnsi="Franklin Gothic Book"/>
        </w:rPr>
      </w:pPr>
    </w:p>
    <w:p w:rsidR="00740144" w:rsidRDefault="00740144">
      <w:pPr>
        <w:rPr>
          <w:rFonts w:ascii="Franklin Gothic Book" w:hAnsi="Franklin Gothic Book"/>
        </w:rPr>
      </w:pPr>
      <w:r>
        <w:rPr>
          <w:rFonts w:ascii="Franklin Gothic Book" w:hAnsi="Franklin Gothic Book"/>
        </w:rPr>
        <w:br w:type="page"/>
      </w:r>
    </w:p>
    <w:p w:rsidR="00740144" w:rsidRDefault="00771071">
      <w:pPr>
        <w:rPr>
          <w:rFonts w:ascii="Franklin Gothic Book" w:hAnsi="Franklin Gothic Book"/>
        </w:rPr>
      </w:pPr>
      <w:r>
        <w:rPr>
          <w:noProof/>
          <w:lang w:eastAsia="fr-FR"/>
        </w:rPr>
        <w:drawing>
          <wp:inline distT="0" distB="0" distL="0" distR="0">
            <wp:extent cx="5649960" cy="1080043"/>
            <wp:effectExtent l="76200" t="25400" r="0" b="0"/>
            <wp:docPr id="15" name="Diagramme 21"/>
            <wp:cNvGraphicFramePr>
              <a:graphicFrameLocks xmlns:a="http://schemas.openxmlformats.org/drawingml/2006/main"/>
            </wp:cNvGraphicFramePr>
            <a:graphic xmlns:a="http://schemas.openxmlformats.org/drawingml/2006/main">
              <a:graphicData uri="http://schemas.openxmlformats.org/drawingml/2006/diagram">
                <a:relIds xmlns:dgm="http://schemas.openxmlformats.org/drawingml/2006/diagram" xmlns:r="http://schemas.openxmlformats.org/officeDocument/2006/relationships" r:dm="rId40" r:lo="rId41" r:qs="rId42" r:cs="rId43"/>
              </a:graphicData>
            </a:graphic>
          </wp:inline>
        </w:drawing>
      </w:r>
    </w:p>
    <w:p w:rsidR="00740144" w:rsidRPr="002A0B32" w:rsidRDefault="00740144" w:rsidP="002A0B32">
      <w:pPr>
        <w:rPr>
          <w:rFonts w:ascii="Franklin Gothic Book" w:hAnsi="Franklin Gothic Book"/>
        </w:rPr>
      </w:pPr>
      <w:r>
        <w:rPr>
          <w:b/>
          <w:color w:val="333333"/>
          <w:sz w:val="24"/>
          <w:szCs w:val="24"/>
        </w:rPr>
        <w:t>Pour l’année 2012 : 53 662</w:t>
      </w:r>
      <w:r w:rsidRPr="002A0B32">
        <w:rPr>
          <w:b/>
          <w:color w:val="333333"/>
          <w:sz w:val="24"/>
          <w:szCs w:val="24"/>
        </w:rPr>
        <w:t xml:space="preserve"> heures insertion réalisées avec l’aide du PLIE.</w:t>
      </w:r>
    </w:p>
    <w:p w:rsidR="00740144" w:rsidRPr="002A0B32" w:rsidRDefault="00740144" w:rsidP="00BC62C6">
      <w:pPr>
        <w:pStyle w:val="Paragraphedeliste"/>
        <w:numPr>
          <w:ilvl w:val="0"/>
          <w:numId w:val="8"/>
        </w:numPr>
        <w:jc w:val="both"/>
        <w:rPr>
          <w:rFonts w:ascii="Calibri" w:hAnsi="Calibri"/>
          <w:color w:val="333333"/>
        </w:rPr>
      </w:pPr>
      <w:r w:rsidRPr="00702AD1">
        <w:rPr>
          <w:rFonts w:ascii="Calibri" w:hAnsi="Calibri"/>
          <w:b/>
          <w:color w:val="333333"/>
        </w:rPr>
        <w:t>17 553 heures</w:t>
      </w:r>
      <w:r w:rsidRPr="002A0B32">
        <w:rPr>
          <w:rFonts w:ascii="Calibri" w:hAnsi="Calibri"/>
          <w:color w:val="333333"/>
        </w:rPr>
        <w:t xml:space="preserve"> par le biais des clauses sociales des marchés relatifs à 10 opérations de la Ville et du CCAS </w:t>
      </w:r>
    </w:p>
    <w:p w:rsidR="00740144" w:rsidRPr="002A0B32" w:rsidRDefault="00740144" w:rsidP="007C6E61">
      <w:pPr>
        <w:pStyle w:val="Paragraphedeliste"/>
        <w:numPr>
          <w:ilvl w:val="0"/>
          <w:numId w:val="8"/>
        </w:numPr>
        <w:spacing w:after="120"/>
        <w:ind w:left="714" w:hanging="357"/>
        <w:jc w:val="both"/>
        <w:rPr>
          <w:rFonts w:ascii="Calibri" w:hAnsi="Calibri"/>
          <w:color w:val="333333"/>
        </w:rPr>
      </w:pPr>
      <w:r w:rsidRPr="00702AD1">
        <w:rPr>
          <w:rFonts w:ascii="Calibri" w:hAnsi="Calibri"/>
          <w:b/>
          <w:color w:val="333333"/>
        </w:rPr>
        <w:t>36 109 heures d’insertion</w:t>
      </w:r>
      <w:r w:rsidRPr="002A0B32">
        <w:rPr>
          <w:rFonts w:ascii="Calibri" w:hAnsi="Calibri"/>
          <w:color w:val="333333"/>
        </w:rPr>
        <w:t>, dans le cadre de deux marchés de prestations d’insertion et de qualification pr</w:t>
      </w:r>
      <w:r>
        <w:rPr>
          <w:rFonts w:ascii="Calibri" w:hAnsi="Calibri"/>
          <w:color w:val="333333"/>
        </w:rPr>
        <w:t>ofessionnelle relatifs à</w:t>
      </w:r>
      <w:r w:rsidRPr="002A0B32">
        <w:rPr>
          <w:rFonts w:ascii="Calibri" w:hAnsi="Calibri"/>
          <w:color w:val="333333"/>
        </w:rPr>
        <w:t xml:space="preserve"> l’entretien et la réparation des Vélos de la Maison du Vélo (Garage Moderne) et à l’entretien et la surveillance dans les Ecoles publiques (BIC/ARE 33).</w:t>
      </w:r>
    </w:p>
    <w:p w:rsidR="00740144" w:rsidRDefault="00740144" w:rsidP="00E443FF">
      <w:pPr>
        <w:spacing w:after="0" w:line="240" w:lineRule="auto"/>
        <w:jc w:val="both"/>
        <w:rPr>
          <w:sz w:val="24"/>
          <w:szCs w:val="24"/>
        </w:rPr>
      </w:pPr>
      <w:r w:rsidRPr="002A0B32">
        <w:rPr>
          <w:b/>
          <w:sz w:val="24"/>
          <w:szCs w:val="24"/>
          <w:u w:val="single"/>
        </w:rPr>
        <w:t>NOTA</w:t>
      </w:r>
      <w:r w:rsidRPr="002A0B32">
        <w:rPr>
          <w:sz w:val="24"/>
          <w:szCs w:val="24"/>
        </w:rPr>
        <w:t> : Le présent bilan</w:t>
      </w:r>
      <w:r>
        <w:rPr>
          <w:sz w:val="24"/>
          <w:szCs w:val="24"/>
        </w:rPr>
        <w:t xml:space="preserve"> et graphiques associés</w:t>
      </w:r>
      <w:r w:rsidRPr="002A0B32">
        <w:rPr>
          <w:sz w:val="24"/>
          <w:szCs w:val="24"/>
        </w:rPr>
        <w:t xml:space="preserve"> ne comptabilise</w:t>
      </w:r>
      <w:r>
        <w:rPr>
          <w:sz w:val="24"/>
          <w:szCs w:val="24"/>
        </w:rPr>
        <w:t>nt</w:t>
      </w:r>
      <w:r w:rsidRPr="002A0B32">
        <w:rPr>
          <w:sz w:val="24"/>
          <w:szCs w:val="24"/>
        </w:rPr>
        <w:t xml:space="preserve"> pas les heur</w:t>
      </w:r>
      <w:r>
        <w:rPr>
          <w:sz w:val="24"/>
          <w:szCs w:val="24"/>
        </w:rPr>
        <w:t xml:space="preserve">es réalisées dans le cadre du </w:t>
      </w:r>
      <w:r w:rsidRPr="002A0B32">
        <w:rPr>
          <w:sz w:val="24"/>
          <w:szCs w:val="24"/>
        </w:rPr>
        <w:t>« marché d’insertion » passé entre les services de la Ville avec Inser’net et la Régie de Quartier de Bacalan. Ces heures sont rajoutées chaque année au bilan du PLIE de Bordeaux. (21 000 heures en 2011)</w:t>
      </w:r>
    </w:p>
    <w:p w:rsidR="00740144" w:rsidRPr="00E443FF" w:rsidRDefault="00740144" w:rsidP="00E443FF">
      <w:pPr>
        <w:spacing w:after="0" w:line="240" w:lineRule="auto"/>
        <w:jc w:val="both"/>
        <w:rPr>
          <w:sz w:val="16"/>
          <w:szCs w:val="16"/>
        </w:rPr>
      </w:pPr>
    </w:p>
    <w:p w:rsidR="00740144" w:rsidRDefault="00740144" w:rsidP="00E443FF">
      <w:pPr>
        <w:spacing w:after="0" w:line="240" w:lineRule="auto"/>
        <w:jc w:val="both"/>
        <w:rPr>
          <w:sz w:val="24"/>
          <w:szCs w:val="24"/>
        </w:rPr>
      </w:pPr>
      <w:r w:rsidRPr="002A0B32">
        <w:rPr>
          <w:sz w:val="24"/>
          <w:szCs w:val="24"/>
        </w:rPr>
        <w:t>E</w:t>
      </w:r>
      <w:r>
        <w:rPr>
          <w:sz w:val="24"/>
          <w:szCs w:val="24"/>
        </w:rPr>
        <w:t>n 2011, le bilan global présentait</w:t>
      </w:r>
      <w:r w:rsidRPr="002A0B32">
        <w:rPr>
          <w:sz w:val="24"/>
          <w:szCs w:val="24"/>
        </w:rPr>
        <w:t xml:space="preserve"> </w:t>
      </w:r>
      <w:r w:rsidRPr="002A0B32">
        <w:rPr>
          <w:b/>
          <w:sz w:val="24"/>
          <w:szCs w:val="24"/>
        </w:rPr>
        <w:t>47 000 heures insertion</w:t>
      </w:r>
      <w:r w:rsidRPr="002A0B32">
        <w:rPr>
          <w:sz w:val="24"/>
          <w:szCs w:val="24"/>
        </w:rPr>
        <w:t xml:space="preserve"> déclenchées par la commande publique de la Ville.</w:t>
      </w:r>
    </w:p>
    <w:p w:rsidR="00740144" w:rsidRPr="00E443FF" w:rsidRDefault="00740144" w:rsidP="00E443FF">
      <w:pPr>
        <w:spacing w:after="0" w:line="240" w:lineRule="auto"/>
        <w:jc w:val="both"/>
        <w:rPr>
          <w:sz w:val="16"/>
          <w:szCs w:val="16"/>
        </w:rPr>
      </w:pPr>
    </w:p>
    <w:p w:rsidR="00740144" w:rsidRDefault="00740144" w:rsidP="00E443FF">
      <w:pPr>
        <w:spacing w:after="0" w:line="240" w:lineRule="auto"/>
        <w:jc w:val="both"/>
        <w:rPr>
          <w:b/>
          <w:sz w:val="24"/>
          <w:szCs w:val="24"/>
        </w:rPr>
      </w:pPr>
      <w:r>
        <w:rPr>
          <w:b/>
          <w:sz w:val="24"/>
          <w:szCs w:val="24"/>
        </w:rPr>
        <w:t xml:space="preserve">Pour 2012, l’objectif fixé </w:t>
      </w:r>
      <w:r w:rsidRPr="002A0B32">
        <w:rPr>
          <w:b/>
          <w:sz w:val="24"/>
          <w:szCs w:val="24"/>
        </w:rPr>
        <w:t>de 40 000 heures insertion est d’ores et déjà largement dépassé avec les seuls chiffres présentés par le PLIE de Bordeaux.</w:t>
      </w:r>
    </w:p>
    <w:p w:rsidR="00740144" w:rsidRDefault="00740144" w:rsidP="00E443FF">
      <w:pPr>
        <w:spacing w:after="0" w:line="240" w:lineRule="auto"/>
        <w:jc w:val="both"/>
        <w:rPr>
          <w:b/>
          <w:sz w:val="24"/>
          <w:szCs w:val="24"/>
        </w:rPr>
      </w:pPr>
    </w:p>
    <w:p w:rsidR="00740144" w:rsidRDefault="00740144" w:rsidP="00950A4F">
      <w:pPr>
        <w:pStyle w:val="Paragraphedeliste"/>
        <w:numPr>
          <w:ilvl w:val="0"/>
          <w:numId w:val="1"/>
        </w:numPr>
        <w:tabs>
          <w:tab w:val="num" w:pos="426"/>
        </w:tabs>
        <w:ind w:left="709" w:hanging="709"/>
        <w:rPr>
          <w:sz w:val="36"/>
        </w:rPr>
      </w:pPr>
      <w:r>
        <w:rPr>
          <w:rFonts w:ascii="Calibri" w:hAnsi="Calibri" w:cs="+mn-cs"/>
          <w:color w:val="4F6228"/>
          <w:sz w:val="36"/>
          <w:szCs w:val="36"/>
        </w:rPr>
        <w:t>Evolution des heures insertion Ville de Bordeaux et CCAS</w:t>
      </w:r>
    </w:p>
    <w:p w:rsidR="00740144" w:rsidRPr="00C00193" w:rsidRDefault="00740144" w:rsidP="00510F89">
      <w:pPr>
        <w:rPr>
          <w:rFonts w:ascii="Franklin Gothic Book" w:hAnsi="Franklin Gothic Book"/>
          <w:sz w:val="16"/>
          <w:szCs w:val="16"/>
        </w:rPr>
      </w:pPr>
    </w:p>
    <w:p w:rsidR="00740144" w:rsidRDefault="00771071" w:rsidP="00702AD1">
      <w:pPr>
        <w:jc w:val="center"/>
        <w:rPr>
          <w:rFonts w:ascii="Franklin Gothic Book" w:hAnsi="Franklin Gothic Book"/>
        </w:rPr>
      </w:pPr>
      <w:r>
        <w:rPr>
          <w:noProof/>
          <w:lang w:eastAsia="fr-FR"/>
        </w:rPr>
        <w:drawing>
          <wp:inline distT="0" distB="0" distL="0" distR="0">
            <wp:extent cx="4572000" cy="3187700"/>
            <wp:effectExtent l="0" t="0" r="0" b="0"/>
            <wp:docPr id="16" name="Graphique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740144" w:rsidRDefault="00740144" w:rsidP="00510F89">
      <w:pPr>
        <w:jc w:val="both"/>
        <w:rPr>
          <w:sz w:val="24"/>
          <w:szCs w:val="24"/>
        </w:rPr>
      </w:pPr>
      <w:r>
        <w:rPr>
          <w:sz w:val="24"/>
          <w:szCs w:val="24"/>
        </w:rPr>
        <w:t>En m</w:t>
      </w:r>
      <w:r w:rsidRPr="00C814CA">
        <w:rPr>
          <w:sz w:val="24"/>
          <w:szCs w:val="24"/>
        </w:rPr>
        <w:t>oyenne</w:t>
      </w:r>
      <w:r>
        <w:rPr>
          <w:sz w:val="24"/>
          <w:szCs w:val="24"/>
        </w:rPr>
        <w:t xml:space="preserve">, la part de la Ville de Bordeaux représente 51% des heures insertion comptabilisées par le PLIE sur la période 2008-2012. </w:t>
      </w:r>
    </w:p>
    <w:p w:rsidR="00740144" w:rsidRDefault="00740144" w:rsidP="00510F89">
      <w:pPr>
        <w:rPr>
          <w:sz w:val="24"/>
          <w:szCs w:val="24"/>
        </w:rPr>
      </w:pPr>
      <w:r>
        <w:rPr>
          <w:sz w:val="24"/>
          <w:szCs w:val="24"/>
        </w:rPr>
        <w:t>Avec une progression significative en 2012 : 57% des heures de travail réservées à un public en insertion proviennent d’une activité générée par les marchés de la Ville de Bordeaux.</w:t>
      </w:r>
    </w:p>
    <w:p w:rsidR="00740144" w:rsidRPr="00F52522" w:rsidRDefault="00740144" w:rsidP="00510F89">
      <w:pPr>
        <w:rPr>
          <w:sz w:val="24"/>
          <w:szCs w:val="24"/>
        </w:rPr>
      </w:pPr>
    </w:p>
    <w:p w:rsidR="00740144" w:rsidRDefault="00771071">
      <w:r>
        <w:rPr>
          <w:noProof/>
          <w:lang w:eastAsia="fr-FR"/>
        </w:rPr>
        <w:drawing>
          <wp:inline distT="0" distB="0" distL="0" distR="0">
            <wp:extent cx="5868009" cy="965979"/>
            <wp:effectExtent l="25400" t="25400" r="0" b="0"/>
            <wp:docPr id="17" name="Diagramme 376"/>
            <wp:cNvGraphicFramePr>
              <a:graphicFrameLocks xmlns:a="http://schemas.openxmlformats.org/drawingml/2006/main"/>
            </wp:cNvGraphicFramePr>
            <a:graphic xmlns:a="http://schemas.openxmlformats.org/drawingml/2006/main">
              <a:graphicData uri="http://schemas.openxmlformats.org/drawingml/2006/diagram">
                <a:relIds xmlns:dgm="http://schemas.openxmlformats.org/drawingml/2006/diagram" xmlns:r="http://schemas.openxmlformats.org/officeDocument/2006/relationships" r:dm="rId46" r:lo="rId47" r:qs="rId48" r:cs="rId49"/>
              </a:graphicData>
            </a:graphic>
          </wp:inline>
        </w:drawing>
      </w:r>
    </w:p>
    <w:p w:rsidR="00740144" w:rsidRPr="00F52522" w:rsidRDefault="00740144" w:rsidP="00E65A17">
      <w:pPr>
        <w:rPr>
          <w:sz w:val="24"/>
          <w:szCs w:val="24"/>
        </w:rPr>
      </w:pPr>
      <w:r w:rsidRPr="00F52522">
        <w:rPr>
          <w:sz w:val="24"/>
          <w:szCs w:val="24"/>
        </w:rPr>
        <w:t>En 2012, le PLIE de Borde</w:t>
      </w:r>
      <w:r>
        <w:rPr>
          <w:sz w:val="24"/>
          <w:szCs w:val="24"/>
        </w:rPr>
        <w:t>aux a apporté un accompagnement</w:t>
      </w:r>
      <w:r w:rsidRPr="00F52522">
        <w:rPr>
          <w:sz w:val="24"/>
          <w:szCs w:val="24"/>
        </w:rPr>
        <w:t xml:space="preserve"> </w:t>
      </w:r>
      <w:r w:rsidRPr="00F52522">
        <w:rPr>
          <w:b/>
          <w:sz w:val="24"/>
          <w:szCs w:val="24"/>
          <w:u w:val="single"/>
        </w:rPr>
        <w:t>sur 40 marchés</w:t>
      </w:r>
      <w:r w:rsidRPr="00F52522">
        <w:rPr>
          <w:sz w:val="24"/>
          <w:szCs w:val="24"/>
        </w:rPr>
        <w:t xml:space="preserve"> intégrant une clause sociale pour l’ensemble des donneurs d’ordre et dont la réalisation intervient sur Bordeaux.</w:t>
      </w:r>
    </w:p>
    <w:p w:rsidR="00740144" w:rsidRPr="00F52522" w:rsidRDefault="00740144" w:rsidP="00F52522">
      <w:pPr>
        <w:suppressAutoHyphens/>
        <w:spacing w:after="0" w:line="240" w:lineRule="auto"/>
        <w:jc w:val="both"/>
        <w:rPr>
          <w:b/>
          <w:sz w:val="24"/>
          <w:szCs w:val="24"/>
          <w:lang w:eastAsia="ar-SA"/>
        </w:rPr>
      </w:pPr>
      <w:r w:rsidRPr="00F52522">
        <w:rPr>
          <w:b/>
          <w:sz w:val="24"/>
          <w:szCs w:val="24"/>
          <w:lang w:eastAsia="ar-SA"/>
        </w:rPr>
        <w:t>- 38 opérations concernent des ma</w:t>
      </w:r>
      <w:r>
        <w:rPr>
          <w:b/>
          <w:sz w:val="24"/>
          <w:szCs w:val="24"/>
          <w:lang w:eastAsia="ar-SA"/>
        </w:rPr>
        <w:t>rchés de travaux et de services pour 61% des heures effectuées</w:t>
      </w:r>
    </w:p>
    <w:p w:rsidR="00740144" w:rsidRPr="00F52522" w:rsidRDefault="00740144" w:rsidP="00E65A17">
      <w:pPr>
        <w:suppressAutoHyphens/>
        <w:spacing w:after="0" w:line="240" w:lineRule="auto"/>
        <w:ind w:firstLine="360"/>
        <w:jc w:val="both"/>
        <w:rPr>
          <w:b/>
          <w:sz w:val="24"/>
          <w:szCs w:val="24"/>
          <w:lang w:eastAsia="ar-SA"/>
        </w:rPr>
      </w:pPr>
    </w:p>
    <w:p w:rsidR="00740144" w:rsidRPr="00F52522" w:rsidRDefault="00740144" w:rsidP="00E65A17">
      <w:pPr>
        <w:suppressAutoHyphens/>
        <w:spacing w:after="0" w:line="240" w:lineRule="auto"/>
        <w:ind w:left="851"/>
        <w:jc w:val="both"/>
        <w:rPr>
          <w:sz w:val="24"/>
          <w:szCs w:val="24"/>
          <w:lang w:eastAsia="ar-SA"/>
        </w:rPr>
      </w:pPr>
      <w:r w:rsidRPr="00F52522">
        <w:rPr>
          <w:sz w:val="24"/>
          <w:szCs w:val="24"/>
          <w:lang w:eastAsia="ar-SA"/>
        </w:rPr>
        <w:t xml:space="preserve">34 marchés de travaux (construction et réhabilitation de bâtiments résidentiels et non résidentiels, travaux de voirie et réseaux divers, génie civil). </w:t>
      </w:r>
    </w:p>
    <w:p w:rsidR="00740144" w:rsidRPr="00F52522" w:rsidRDefault="00740144" w:rsidP="00E65A17">
      <w:pPr>
        <w:suppressAutoHyphens/>
        <w:spacing w:after="0" w:line="240" w:lineRule="auto"/>
        <w:ind w:left="851"/>
        <w:jc w:val="both"/>
        <w:rPr>
          <w:sz w:val="16"/>
          <w:szCs w:val="16"/>
          <w:lang w:eastAsia="ar-SA"/>
        </w:rPr>
      </w:pPr>
    </w:p>
    <w:p w:rsidR="00740144" w:rsidRPr="00F52522" w:rsidRDefault="00740144" w:rsidP="00E65A17">
      <w:pPr>
        <w:suppressAutoHyphens/>
        <w:spacing w:after="0" w:line="240" w:lineRule="auto"/>
        <w:ind w:left="851"/>
        <w:jc w:val="both"/>
        <w:rPr>
          <w:sz w:val="24"/>
          <w:szCs w:val="24"/>
          <w:lang w:eastAsia="ar-SA"/>
        </w:rPr>
      </w:pPr>
      <w:r w:rsidRPr="00F52522">
        <w:rPr>
          <w:sz w:val="24"/>
          <w:szCs w:val="24"/>
          <w:lang w:eastAsia="ar-SA"/>
        </w:rPr>
        <w:t>4 marchés de service (maintenance de bâtiment, entretien des espaces verts, déménagement, gardiennage et entretien de locaux)</w:t>
      </w:r>
    </w:p>
    <w:p w:rsidR="00740144" w:rsidRPr="00F52522" w:rsidRDefault="00740144" w:rsidP="00E65A17">
      <w:pPr>
        <w:suppressAutoHyphens/>
        <w:spacing w:after="0" w:line="240" w:lineRule="auto"/>
        <w:ind w:left="851"/>
        <w:jc w:val="both"/>
        <w:rPr>
          <w:b/>
          <w:sz w:val="24"/>
          <w:szCs w:val="24"/>
          <w:lang w:eastAsia="ar-SA"/>
        </w:rPr>
      </w:pPr>
    </w:p>
    <w:p w:rsidR="00740144" w:rsidRPr="00F52522" w:rsidRDefault="00740144" w:rsidP="00E443FF">
      <w:pPr>
        <w:rPr>
          <w:sz w:val="24"/>
          <w:szCs w:val="24"/>
        </w:rPr>
      </w:pPr>
      <w:r w:rsidRPr="00F52522">
        <w:rPr>
          <w:sz w:val="24"/>
          <w:szCs w:val="24"/>
        </w:rPr>
        <w:t xml:space="preserve">Soit 120 entreprises </w:t>
      </w:r>
      <w:r>
        <w:rPr>
          <w:sz w:val="24"/>
          <w:szCs w:val="24"/>
        </w:rPr>
        <w:t>attributaires accompagnées par le PLIE de Bordeaux dans la réalisation de leur engagement d’insertion.</w:t>
      </w:r>
    </w:p>
    <w:p w:rsidR="00740144" w:rsidRPr="00F52522" w:rsidRDefault="00740144" w:rsidP="00F52522">
      <w:pPr>
        <w:rPr>
          <w:b/>
          <w:sz w:val="24"/>
          <w:szCs w:val="24"/>
        </w:rPr>
      </w:pPr>
      <w:r w:rsidRPr="00F52522">
        <w:rPr>
          <w:b/>
          <w:sz w:val="24"/>
          <w:szCs w:val="24"/>
        </w:rPr>
        <w:t>- 2 marchés d’insertion et de qualification professionnelle portés par la Ville de Bordeaux</w:t>
      </w:r>
      <w:r>
        <w:rPr>
          <w:b/>
          <w:sz w:val="24"/>
          <w:szCs w:val="24"/>
        </w:rPr>
        <w:t xml:space="preserve"> pour 39% des heures réalisées en 2012.</w:t>
      </w:r>
    </w:p>
    <w:p w:rsidR="00740144" w:rsidRDefault="00771071">
      <w:pPr>
        <w:rPr>
          <w:rFonts w:ascii="Franklin Gothic Book" w:hAnsi="Franklin Gothic Book"/>
        </w:rPr>
      </w:pPr>
      <w:r>
        <w:rPr>
          <w:noProof/>
          <w:lang w:eastAsia="fr-FR"/>
        </w:rPr>
        <w:drawing>
          <wp:inline distT="0" distB="0" distL="0" distR="0">
            <wp:extent cx="5422900" cy="2755900"/>
            <wp:effectExtent l="0" t="0" r="0" b="0"/>
            <wp:docPr id="18" name="Graphique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00740144">
        <w:rPr>
          <w:rFonts w:ascii="Franklin Gothic Book" w:hAnsi="Franklin Gothic Book"/>
        </w:rPr>
        <w:br w:type="page"/>
      </w:r>
    </w:p>
    <w:p w:rsidR="00740144" w:rsidRDefault="00740144" w:rsidP="00F52522">
      <w:pPr>
        <w:pStyle w:val="Paragraphedeliste"/>
        <w:numPr>
          <w:ilvl w:val="0"/>
          <w:numId w:val="1"/>
        </w:numPr>
        <w:tabs>
          <w:tab w:val="num" w:pos="426"/>
        </w:tabs>
        <w:ind w:left="709" w:hanging="709"/>
        <w:rPr>
          <w:sz w:val="36"/>
        </w:rPr>
      </w:pPr>
      <w:r>
        <w:rPr>
          <w:rFonts w:ascii="Calibri" w:hAnsi="Calibri" w:cs="+mn-cs"/>
          <w:color w:val="4F6228"/>
          <w:sz w:val="36"/>
          <w:szCs w:val="36"/>
        </w:rPr>
        <w:t>Répartition des heures par type de clause sociale mobilisée</w:t>
      </w:r>
    </w:p>
    <w:p w:rsidR="00740144" w:rsidRPr="00F22C4E" w:rsidRDefault="00740144" w:rsidP="001C40DF">
      <w:pPr>
        <w:suppressAutoHyphens/>
        <w:spacing w:after="0" w:line="240" w:lineRule="auto"/>
        <w:jc w:val="both"/>
        <w:rPr>
          <w:sz w:val="16"/>
          <w:szCs w:val="16"/>
          <w:lang w:eastAsia="ar-SA"/>
        </w:rPr>
      </w:pPr>
    </w:p>
    <w:p w:rsidR="00740144" w:rsidRPr="00F22C4E" w:rsidRDefault="00740144" w:rsidP="001C40DF">
      <w:pPr>
        <w:suppressAutoHyphens/>
        <w:spacing w:after="0" w:line="240" w:lineRule="auto"/>
        <w:jc w:val="both"/>
        <w:rPr>
          <w:sz w:val="24"/>
          <w:szCs w:val="24"/>
          <w:lang w:eastAsia="ar-SA"/>
        </w:rPr>
      </w:pPr>
      <w:r w:rsidRPr="00F22C4E">
        <w:rPr>
          <w:sz w:val="24"/>
          <w:szCs w:val="24"/>
          <w:lang w:eastAsia="ar-SA"/>
        </w:rPr>
        <w:t>L’en</w:t>
      </w:r>
      <w:r>
        <w:rPr>
          <w:sz w:val="24"/>
          <w:szCs w:val="24"/>
          <w:lang w:eastAsia="ar-SA"/>
        </w:rPr>
        <w:t>semble des heures sont effectuées</w:t>
      </w:r>
      <w:r w:rsidRPr="00F22C4E">
        <w:rPr>
          <w:sz w:val="24"/>
          <w:szCs w:val="24"/>
          <w:lang w:eastAsia="ar-SA"/>
        </w:rPr>
        <w:t xml:space="preserve"> dans le cadre de procédure</w:t>
      </w:r>
      <w:r>
        <w:rPr>
          <w:sz w:val="24"/>
          <w:szCs w:val="24"/>
          <w:lang w:eastAsia="ar-SA"/>
        </w:rPr>
        <w:t>s</w:t>
      </w:r>
      <w:r w:rsidRPr="00F22C4E">
        <w:rPr>
          <w:sz w:val="24"/>
          <w:szCs w:val="24"/>
          <w:lang w:eastAsia="ar-SA"/>
        </w:rPr>
        <w:t xml:space="preserve"> contractuelle</w:t>
      </w:r>
      <w:r>
        <w:rPr>
          <w:sz w:val="24"/>
          <w:szCs w:val="24"/>
          <w:lang w:eastAsia="ar-SA"/>
        </w:rPr>
        <w:t>s</w:t>
      </w:r>
      <w:r w:rsidRPr="00F22C4E">
        <w:rPr>
          <w:sz w:val="24"/>
          <w:szCs w:val="24"/>
          <w:lang w:eastAsia="ar-SA"/>
        </w:rPr>
        <w:t xml:space="preserve"> : Code des marchés publics, ordonnance de 2005 pour les bailleurs non soumis au CMP </w:t>
      </w:r>
      <w:r>
        <w:rPr>
          <w:sz w:val="24"/>
          <w:szCs w:val="24"/>
          <w:lang w:eastAsia="ar-SA"/>
        </w:rPr>
        <w:t>ou clause contractuelle pour un donneur d’ordre privé</w:t>
      </w:r>
      <w:r w:rsidRPr="00F22C4E">
        <w:rPr>
          <w:sz w:val="24"/>
          <w:szCs w:val="24"/>
          <w:lang w:eastAsia="ar-SA"/>
        </w:rPr>
        <w:t>.</w:t>
      </w:r>
    </w:p>
    <w:p w:rsidR="00740144" w:rsidRPr="00F22C4E" w:rsidRDefault="00740144">
      <w:pPr>
        <w:rPr>
          <w:sz w:val="16"/>
          <w:szCs w:val="16"/>
        </w:rPr>
      </w:pPr>
    </w:p>
    <w:p w:rsidR="00740144" w:rsidRPr="00F22C4E" w:rsidRDefault="00740144" w:rsidP="00802ADF">
      <w:pPr>
        <w:rPr>
          <w:b/>
          <w:sz w:val="24"/>
          <w:szCs w:val="24"/>
        </w:rPr>
      </w:pPr>
      <w:r w:rsidRPr="00F22C4E">
        <w:rPr>
          <w:b/>
          <w:sz w:val="24"/>
          <w:szCs w:val="24"/>
        </w:rPr>
        <w:t>- Rappel des dispositions du Code des marchés publics pour la mise en œuvre des clauses sociales</w:t>
      </w:r>
    </w:p>
    <w:p w:rsidR="00740144" w:rsidRPr="00F22C4E" w:rsidRDefault="00740144" w:rsidP="00F22C4E">
      <w:pPr>
        <w:spacing w:after="0" w:line="240" w:lineRule="auto"/>
        <w:jc w:val="both"/>
        <w:rPr>
          <w:sz w:val="24"/>
          <w:szCs w:val="24"/>
        </w:rPr>
      </w:pPr>
      <w:r w:rsidRPr="00F22C4E">
        <w:rPr>
          <w:sz w:val="24"/>
          <w:szCs w:val="24"/>
        </w:rPr>
        <w:t xml:space="preserve">Le code des marchés incite les acheteurs publics, à travers l’article 5, à prendre en compte, dans la définition des besoins du marché, des objectifs de développement durable. </w:t>
      </w:r>
    </w:p>
    <w:p w:rsidR="00740144" w:rsidRDefault="00740144" w:rsidP="00F22C4E">
      <w:pPr>
        <w:spacing w:after="0" w:line="240" w:lineRule="auto"/>
        <w:jc w:val="both"/>
        <w:rPr>
          <w:sz w:val="24"/>
          <w:szCs w:val="24"/>
        </w:rPr>
      </w:pPr>
      <w:r w:rsidRPr="00F22C4E">
        <w:rPr>
          <w:sz w:val="24"/>
          <w:szCs w:val="24"/>
        </w:rPr>
        <w:t xml:space="preserve">L’insertion des personnes éloignées de l’emploi en fait partie. Les acheteurs publics peuvent donc s’appuyer sur plusieurs articles (14; 30; 53; 15) pour mettre en place des étapes de parcours d’emploi en direction des personnes en difficulté professionnelle sur leur territoire. </w:t>
      </w:r>
    </w:p>
    <w:p w:rsidR="00740144" w:rsidRPr="00E443FF" w:rsidRDefault="00740144" w:rsidP="00F22C4E">
      <w:pPr>
        <w:spacing w:after="0" w:line="240" w:lineRule="auto"/>
        <w:jc w:val="both"/>
        <w:rPr>
          <w:sz w:val="24"/>
          <w:szCs w:val="24"/>
        </w:rPr>
      </w:pPr>
    </w:p>
    <w:p w:rsidR="00740144" w:rsidRPr="00F22C4E" w:rsidRDefault="00740144" w:rsidP="00E443FF">
      <w:pPr>
        <w:jc w:val="center"/>
        <w:rPr>
          <w:b/>
          <w:sz w:val="24"/>
          <w:szCs w:val="24"/>
        </w:rPr>
      </w:pPr>
      <w:r w:rsidRPr="00F22C4E">
        <w:rPr>
          <w:b/>
          <w:sz w:val="24"/>
          <w:szCs w:val="24"/>
        </w:rPr>
        <w:t>- Les types d’</w:t>
      </w:r>
      <w:r>
        <w:rPr>
          <w:b/>
          <w:sz w:val="24"/>
          <w:szCs w:val="24"/>
        </w:rPr>
        <w:t>articles mobilisés</w:t>
      </w:r>
      <w:r w:rsidRPr="00F22C4E">
        <w:rPr>
          <w:b/>
          <w:sz w:val="24"/>
          <w:szCs w:val="24"/>
        </w:rPr>
        <w:t xml:space="preserve"> auprès des différents donneurs d’ordres partenaires du PLIE</w:t>
      </w:r>
    </w:p>
    <w:p w:rsidR="00740144" w:rsidRPr="00F22C4E" w:rsidRDefault="00740144" w:rsidP="00F22C4E">
      <w:pPr>
        <w:spacing w:after="0" w:line="240" w:lineRule="auto"/>
        <w:jc w:val="both"/>
        <w:rPr>
          <w:sz w:val="24"/>
          <w:szCs w:val="24"/>
        </w:rPr>
      </w:pPr>
      <w:r w:rsidRPr="00F22C4E">
        <w:rPr>
          <w:b/>
          <w:sz w:val="24"/>
          <w:szCs w:val="24"/>
        </w:rPr>
        <w:t>Article 14</w:t>
      </w:r>
      <w:r w:rsidRPr="00F22C4E">
        <w:rPr>
          <w:sz w:val="24"/>
          <w:szCs w:val="24"/>
        </w:rPr>
        <w:t xml:space="preserve"> : L’insertion est une condition d’exécution du marché, un volume d’heures de travail est réservé à des personnes en difficulté. Cette clause s’applique sur les marchés de travaux mais également sur les marchés de services. </w:t>
      </w:r>
    </w:p>
    <w:p w:rsidR="00740144" w:rsidRDefault="00740144" w:rsidP="00F22C4E">
      <w:pPr>
        <w:spacing w:before="120" w:after="0" w:line="240" w:lineRule="auto"/>
        <w:jc w:val="both"/>
        <w:rPr>
          <w:b/>
          <w:color w:val="4F6228"/>
          <w:sz w:val="24"/>
          <w:szCs w:val="24"/>
        </w:rPr>
      </w:pPr>
      <w:r w:rsidRPr="00F22C4E">
        <w:rPr>
          <w:b/>
          <w:color w:val="4F6228"/>
          <w:sz w:val="24"/>
          <w:szCs w:val="24"/>
        </w:rPr>
        <w:t xml:space="preserve">Le recours à l’article 14 (ou assimilé) reste la disposition la plus utilisée par les donneurs d’ordre </w:t>
      </w:r>
      <w:r>
        <w:rPr>
          <w:b/>
          <w:color w:val="4F6228"/>
          <w:sz w:val="24"/>
          <w:szCs w:val="24"/>
        </w:rPr>
        <w:t>en 2012 : 51% des heures effectuées.</w:t>
      </w:r>
    </w:p>
    <w:p w:rsidR="00740144" w:rsidRPr="00F22C4E" w:rsidRDefault="00740144" w:rsidP="00F22C4E">
      <w:pPr>
        <w:spacing w:after="0" w:line="240" w:lineRule="auto"/>
        <w:jc w:val="both"/>
        <w:rPr>
          <w:b/>
          <w:color w:val="4F6228"/>
          <w:sz w:val="24"/>
          <w:szCs w:val="24"/>
        </w:rPr>
      </w:pPr>
    </w:p>
    <w:p w:rsidR="00740144" w:rsidRPr="00F22C4E" w:rsidRDefault="00740144" w:rsidP="00F22C4E">
      <w:pPr>
        <w:spacing w:after="0" w:line="240" w:lineRule="auto"/>
        <w:jc w:val="both"/>
        <w:rPr>
          <w:sz w:val="24"/>
          <w:szCs w:val="24"/>
        </w:rPr>
      </w:pPr>
      <w:r w:rsidRPr="00F22C4E">
        <w:rPr>
          <w:b/>
          <w:sz w:val="24"/>
          <w:szCs w:val="24"/>
        </w:rPr>
        <w:t>Article 30 :</w:t>
      </w:r>
      <w:r w:rsidRPr="00F22C4E">
        <w:rPr>
          <w:sz w:val="24"/>
          <w:szCs w:val="24"/>
        </w:rPr>
        <w:t xml:space="preserve"> C’est un marché de services dit « de qualification et d’insertion socio-professionnelle ». L’insertion est l’objet du marché, il s’agit de permettre à des publics le plus en difficulté d’acquérir des compétences et des comportements à l’emploi en s’appuyant sur une activité support. </w:t>
      </w:r>
    </w:p>
    <w:p w:rsidR="00740144" w:rsidRPr="00F22C4E" w:rsidRDefault="00740144" w:rsidP="00F22C4E">
      <w:pPr>
        <w:spacing w:after="0" w:line="240" w:lineRule="auto"/>
        <w:jc w:val="both"/>
        <w:rPr>
          <w:sz w:val="24"/>
          <w:szCs w:val="24"/>
        </w:rPr>
      </w:pPr>
      <w:r w:rsidRPr="00F22C4E">
        <w:rPr>
          <w:sz w:val="24"/>
          <w:szCs w:val="24"/>
        </w:rPr>
        <w:t>L’article 30 est mis en œuvre</w:t>
      </w:r>
      <w:r>
        <w:rPr>
          <w:sz w:val="24"/>
          <w:szCs w:val="24"/>
        </w:rPr>
        <w:t xml:space="preserve"> par la Ville de Bordeaux. Il sera développé avec</w:t>
      </w:r>
      <w:r w:rsidRPr="00F22C4E">
        <w:rPr>
          <w:sz w:val="24"/>
          <w:szCs w:val="24"/>
        </w:rPr>
        <w:t xml:space="preserve"> </w:t>
      </w:r>
      <w:r>
        <w:rPr>
          <w:sz w:val="24"/>
          <w:szCs w:val="24"/>
        </w:rPr>
        <w:t>d’</w:t>
      </w:r>
      <w:r w:rsidRPr="00F22C4E">
        <w:rPr>
          <w:sz w:val="24"/>
          <w:szCs w:val="24"/>
        </w:rPr>
        <w:t>autres donneurs d’ordre en 2013 afin notamment de favoriser l’accès des Ateliers et Chantiers Inserti</w:t>
      </w:r>
      <w:r>
        <w:rPr>
          <w:sz w:val="24"/>
          <w:szCs w:val="24"/>
        </w:rPr>
        <w:t>on à la clause sociale. Un  tel</w:t>
      </w:r>
      <w:r w:rsidRPr="00F22C4E">
        <w:rPr>
          <w:sz w:val="24"/>
          <w:szCs w:val="24"/>
        </w:rPr>
        <w:t xml:space="preserve"> projet est en cours dans le cadre des opérations de réhabilitation des logements sociaux du PNRQAD </w:t>
      </w:r>
      <w:r>
        <w:rPr>
          <w:sz w:val="24"/>
          <w:szCs w:val="24"/>
        </w:rPr>
        <w:t>Bordeaux [Re] Centres</w:t>
      </w:r>
      <w:r w:rsidRPr="00F22C4E">
        <w:rPr>
          <w:sz w:val="24"/>
          <w:szCs w:val="24"/>
        </w:rPr>
        <w:t xml:space="preserve"> en partenariat avec Domofrance, les Compagnons Bâtisseurs et le PLIE de Bordeaux.</w:t>
      </w:r>
    </w:p>
    <w:p w:rsidR="00740144" w:rsidRDefault="00740144" w:rsidP="00F22C4E">
      <w:pPr>
        <w:spacing w:before="120" w:after="0"/>
        <w:jc w:val="both"/>
        <w:rPr>
          <w:b/>
          <w:color w:val="4F6228"/>
          <w:sz w:val="24"/>
          <w:szCs w:val="24"/>
        </w:rPr>
      </w:pPr>
      <w:r w:rsidRPr="00F22C4E">
        <w:rPr>
          <w:b/>
          <w:color w:val="4F6228"/>
          <w:sz w:val="24"/>
          <w:szCs w:val="24"/>
        </w:rPr>
        <w:t>Le recours à l’article 30 représente</w:t>
      </w:r>
      <w:r>
        <w:rPr>
          <w:b/>
          <w:color w:val="4F6228"/>
          <w:sz w:val="24"/>
          <w:szCs w:val="24"/>
        </w:rPr>
        <w:t xml:space="preserve"> 38, 5% des heures insertion en 2012.</w:t>
      </w:r>
    </w:p>
    <w:p w:rsidR="00740144" w:rsidRPr="00F22C4E" w:rsidRDefault="00740144" w:rsidP="00F22C4E">
      <w:pPr>
        <w:spacing w:before="120" w:after="0"/>
        <w:jc w:val="both"/>
        <w:rPr>
          <w:sz w:val="24"/>
          <w:szCs w:val="24"/>
        </w:rPr>
      </w:pPr>
    </w:p>
    <w:p w:rsidR="00740144" w:rsidRPr="00F22C4E" w:rsidRDefault="00740144" w:rsidP="00F22C4E">
      <w:pPr>
        <w:spacing w:after="0" w:line="240" w:lineRule="auto"/>
        <w:jc w:val="both"/>
        <w:rPr>
          <w:sz w:val="24"/>
          <w:szCs w:val="24"/>
        </w:rPr>
      </w:pPr>
      <w:r w:rsidRPr="00F22C4E">
        <w:rPr>
          <w:b/>
          <w:sz w:val="24"/>
          <w:szCs w:val="24"/>
        </w:rPr>
        <w:t>Article 53</w:t>
      </w:r>
      <w:r w:rsidRPr="00F22C4E">
        <w:rPr>
          <w:sz w:val="24"/>
          <w:szCs w:val="24"/>
        </w:rPr>
        <w:t xml:space="preserve"> : Les performances en matière d’insertion professionnelle font partie des critères de jugement des offres. Il est associé à l’article 14. </w:t>
      </w:r>
    </w:p>
    <w:p w:rsidR="00740144" w:rsidRPr="00F22C4E" w:rsidRDefault="00740144" w:rsidP="00F22C4E">
      <w:pPr>
        <w:spacing w:after="0" w:line="240" w:lineRule="auto"/>
        <w:jc w:val="both"/>
        <w:rPr>
          <w:sz w:val="24"/>
          <w:szCs w:val="24"/>
        </w:rPr>
      </w:pPr>
      <w:r w:rsidRPr="00F22C4E">
        <w:rPr>
          <w:sz w:val="24"/>
          <w:szCs w:val="24"/>
        </w:rPr>
        <w:t xml:space="preserve">La Direction Générale des Services Techniques de la Ville de Bordeaux, accompagnée par le PLIE de Bordeaux, met en œuvre cette procédure </w:t>
      </w:r>
      <w:r>
        <w:rPr>
          <w:sz w:val="24"/>
          <w:szCs w:val="24"/>
        </w:rPr>
        <w:t>pour les opérations importantes</w:t>
      </w:r>
      <w:r w:rsidRPr="00F22C4E">
        <w:rPr>
          <w:sz w:val="24"/>
          <w:szCs w:val="24"/>
        </w:rPr>
        <w:t xml:space="preserve"> de construction et d’aménagement.</w:t>
      </w:r>
    </w:p>
    <w:p w:rsidR="00740144" w:rsidRDefault="00740144" w:rsidP="00F22C4E">
      <w:pPr>
        <w:spacing w:before="120" w:after="0" w:line="240" w:lineRule="auto"/>
        <w:jc w:val="both"/>
        <w:rPr>
          <w:b/>
          <w:color w:val="4F6228"/>
          <w:sz w:val="24"/>
          <w:szCs w:val="24"/>
        </w:rPr>
      </w:pPr>
      <w:r w:rsidRPr="00F22C4E">
        <w:rPr>
          <w:b/>
          <w:color w:val="4F6228"/>
          <w:sz w:val="24"/>
          <w:szCs w:val="24"/>
        </w:rPr>
        <w:t>La part des heures insertion réalisées en article 14+53 représente 10,5% du volume global. Cet article est très intéressant sur le plan qualitatif, et conduit les entreprises à anticiper leur action d’insertion en proposant des parcours d’insertion concourant au retour à l’emploi des bénéficiaires.</w:t>
      </w:r>
    </w:p>
    <w:p w:rsidR="00740144" w:rsidRDefault="00740144" w:rsidP="00F22C4E">
      <w:pPr>
        <w:spacing w:before="120" w:after="0" w:line="240" w:lineRule="auto"/>
        <w:jc w:val="both"/>
        <w:rPr>
          <w:b/>
          <w:color w:val="4F6228"/>
          <w:sz w:val="24"/>
          <w:szCs w:val="24"/>
        </w:rPr>
      </w:pPr>
    </w:p>
    <w:p w:rsidR="00740144" w:rsidRPr="00F22C4E" w:rsidRDefault="00740144" w:rsidP="001D1A71">
      <w:pPr>
        <w:spacing w:after="0"/>
        <w:jc w:val="both"/>
        <w:rPr>
          <w:sz w:val="24"/>
          <w:szCs w:val="24"/>
        </w:rPr>
      </w:pPr>
      <w:r w:rsidRPr="00F22C4E">
        <w:rPr>
          <w:b/>
          <w:sz w:val="24"/>
          <w:szCs w:val="24"/>
        </w:rPr>
        <w:t>Article 15</w:t>
      </w:r>
      <w:r w:rsidRPr="00F22C4E">
        <w:rPr>
          <w:sz w:val="24"/>
          <w:szCs w:val="24"/>
        </w:rPr>
        <w:t xml:space="preserve"> : Il s’agit de réserver un marché à des structures adaptées telle que l’entreprise adaptée</w:t>
      </w:r>
      <w:r>
        <w:rPr>
          <w:sz w:val="24"/>
          <w:szCs w:val="24"/>
        </w:rPr>
        <w:t xml:space="preserve"> (EA)</w:t>
      </w:r>
      <w:r w:rsidRPr="00F22C4E">
        <w:rPr>
          <w:sz w:val="24"/>
          <w:szCs w:val="24"/>
        </w:rPr>
        <w:t xml:space="preserve"> ou à un établissement et service d’aide par le travail</w:t>
      </w:r>
      <w:r>
        <w:rPr>
          <w:sz w:val="24"/>
          <w:szCs w:val="24"/>
        </w:rPr>
        <w:t xml:space="preserve"> (ESAT)</w:t>
      </w:r>
      <w:r w:rsidRPr="00F22C4E">
        <w:rPr>
          <w:sz w:val="24"/>
          <w:szCs w:val="24"/>
        </w:rPr>
        <w:t xml:space="preserve">. </w:t>
      </w:r>
    </w:p>
    <w:p w:rsidR="00740144" w:rsidRDefault="00740144" w:rsidP="001D1A71">
      <w:pPr>
        <w:spacing w:before="120" w:after="0" w:line="240" w:lineRule="auto"/>
        <w:jc w:val="both"/>
        <w:rPr>
          <w:b/>
          <w:color w:val="4F6228"/>
          <w:sz w:val="24"/>
          <w:szCs w:val="24"/>
        </w:rPr>
      </w:pPr>
      <w:r w:rsidRPr="00F22C4E">
        <w:rPr>
          <w:b/>
          <w:color w:val="4F6228"/>
          <w:sz w:val="24"/>
          <w:szCs w:val="24"/>
        </w:rPr>
        <w:t>Cet article n’est pas géré par le PLIE de Bordeaux. Ce positionnement peut faire l’objet  d’une nouvelle orientation confiée au PLIE</w:t>
      </w:r>
      <w:r>
        <w:rPr>
          <w:b/>
          <w:color w:val="4F6228"/>
          <w:sz w:val="24"/>
          <w:szCs w:val="24"/>
        </w:rPr>
        <w:t xml:space="preserve"> </w:t>
      </w:r>
      <w:r w:rsidRPr="00F22C4E">
        <w:rPr>
          <w:b/>
          <w:color w:val="4F6228"/>
          <w:sz w:val="24"/>
          <w:szCs w:val="24"/>
        </w:rPr>
        <w:t>en 2013</w:t>
      </w:r>
    </w:p>
    <w:p w:rsidR="00740144" w:rsidRPr="00F22C4E" w:rsidRDefault="00740144" w:rsidP="00F22C4E">
      <w:pPr>
        <w:spacing w:after="0"/>
        <w:jc w:val="both"/>
        <w:rPr>
          <w:b/>
          <w:color w:val="4F6228"/>
          <w:sz w:val="24"/>
          <w:szCs w:val="24"/>
        </w:rPr>
      </w:pPr>
    </w:p>
    <w:p w:rsidR="00740144" w:rsidRPr="00F22C4E" w:rsidRDefault="00740144" w:rsidP="00802ADF">
      <w:pPr>
        <w:rPr>
          <w:sz w:val="24"/>
          <w:szCs w:val="24"/>
        </w:rPr>
      </w:pPr>
      <w:r w:rsidRPr="00F22C4E">
        <w:rPr>
          <w:b/>
          <w:sz w:val="24"/>
          <w:szCs w:val="24"/>
        </w:rPr>
        <w:t>- Liste des opérations en 2012</w:t>
      </w:r>
    </w:p>
    <w:p w:rsidR="00740144" w:rsidRDefault="00771071">
      <w:r>
        <w:rPr>
          <w:noProof/>
          <w:lang w:eastAsia="fr-FR"/>
        </w:rPr>
        <w:drawing>
          <wp:inline distT="0" distB="0" distL="0" distR="0">
            <wp:extent cx="5689600" cy="7264400"/>
            <wp:effectExtent l="25400" t="0" r="0" b="0"/>
            <wp:docPr id="19"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a:picLocks noChangeAspect="1" noChangeArrowheads="1"/>
                    </pic:cNvPicPr>
                  </pic:nvPicPr>
                  <pic:blipFill>
                    <a:blip r:embed="rId52"/>
                    <a:srcRect/>
                    <a:stretch>
                      <a:fillRect/>
                    </a:stretch>
                  </pic:blipFill>
                  <pic:spPr bwMode="auto">
                    <a:xfrm>
                      <a:off x="0" y="0"/>
                      <a:ext cx="5689600" cy="7264400"/>
                    </a:xfrm>
                    <a:prstGeom prst="rect">
                      <a:avLst/>
                    </a:prstGeom>
                    <a:noFill/>
                    <a:ln w="9525">
                      <a:noFill/>
                      <a:miter lim="800000"/>
                      <a:headEnd/>
                      <a:tailEnd/>
                    </a:ln>
                  </pic:spPr>
                </pic:pic>
              </a:graphicData>
            </a:graphic>
          </wp:inline>
        </w:drawing>
      </w:r>
      <w:r w:rsidR="00740144">
        <w:br w:type="page"/>
      </w:r>
    </w:p>
    <w:p w:rsidR="00740144" w:rsidRDefault="00771071">
      <w:r>
        <w:rPr>
          <w:noProof/>
          <w:lang w:eastAsia="fr-FR"/>
        </w:rPr>
        <w:drawing>
          <wp:inline distT="0" distB="0" distL="0" distR="0">
            <wp:extent cx="5811536" cy="1219200"/>
            <wp:effectExtent l="119364" t="0" r="0" b="0"/>
            <wp:docPr id="20" name="Diagramme 17"/>
            <wp:cNvGraphicFramePr>
              <a:graphicFrameLocks xmlns:a="http://schemas.openxmlformats.org/drawingml/2006/main"/>
            </wp:cNvGraphicFramePr>
            <a:graphic xmlns:a="http://schemas.openxmlformats.org/drawingml/2006/main">
              <a:graphicData uri="http://schemas.openxmlformats.org/drawingml/2006/diagram">
                <a:relIds xmlns:dgm="http://schemas.openxmlformats.org/drawingml/2006/diagram" xmlns:r="http://schemas.openxmlformats.org/officeDocument/2006/relationships" r:dm="rId53" r:lo="rId54" r:qs="rId55" r:cs="rId56"/>
              </a:graphicData>
            </a:graphic>
          </wp:inline>
        </w:drawing>
      </w:r>
    </w:p>
    <w:p w:rsidR="00740144" w:rsidRPr="004D14BA" w:rsidRDefault="00740144" w:rsidP="00E76603">
      <w:pPr>
        <w:jc w:val="both"/>
        <w:rPr>
          <w:sz w:val="24"/>
          <w:szCs w:val="24"/>
        </w:rPr>
      </w:pPr>
      <w:r w:rsidRPr="004D14BA">
        <w:rPr>
          <w:sz w:val="24"/>
          <w:szCs w:val="24"/>
        </w:rPr>
        <w:t xml:space="preserve">En 2012, plus de </w:t>
      </w:r>
      <w:r w:rsidRPr="004D14BA">
        <w:rPr>
          <w:b/>
          <w:sz w:val="24"/>
          <w:szCs w:val="24"/>
          <w:u w:val="single"/>
        </w:rPr>
        <w:t>76 150 heures insertion</w:t>
      </w:r>
      <w:r w:rsidRPr="004D14BA">
        <w:rPr>
          <w:sz w:val="24"/>
          <w:szCs w:val="24"/>
        </w:rPr>
        <w:t xml:space="preserve"> ont été réalisées par l’intermédiaire des Structures d’Insertion par l’Activité Economique, </w:t>
      </w:r>
      <w:r w:rsidRPr="004D14BA">
        <w:rPr>
          <w:b/>
          <w:sz w:val="24"/>
          <w:szCs w:val="24"/>
        </w:rPr>
        <w:t>soit 80%</w:t>
      </w:r>
      <w:r w:rsidRPr="004D14BA">
        <w:rPr>
          <w:sz w:val="24"/>
          <w:szCs w:val="24"/>
        </w:rPr>
        <w:t xml:space="preserve"> de la réalisation totale.</w:t>
      </w:r>
    </w:p>
    <w:p w:rsidR="00740144" w:rsidRPr="004D14BA" w:rsidRDefault="00740144" w:rsidP="00E76603">
      <w:pPr>
        <w:jc w:val="both"/>
        <w:rPr>
          <w:sz w:val="24"/>
          <w:szCs w:val="24"/>
        </w:rPr>
      </w:pPr>
      <w:r w:rsidRPr="004D14BA">
        <w:rPr>
          <w:sz w:val="24"/>
          <w:szCs w:val="24"/>
        </w:rPr>
        <w:t xml:space="preserve">En 2011, elles représentaient </w:t>
      </w:r>
      <w:r w:rsidRPr="004D14BA">
        <w:rPr>
          <w:b/>
          <w:sz w:val="24"/>
          <w:szCs w:val="24"/>
        </w:rPr>
        <w:t>69,5%</w:t>
      </w:r>
      <w:r w:rsidRPr="004D14BA">
        <w:rPr>
          <w:sz w:val="24"/>
          <w:szCs w:val="24"/>
        </w:rPr>
        <w:t xml:space="preserve"> des heures de travail proposées.</w:t>
      </w:r>
    </w:p>
    <w:p w:rsidR="00740144" w:rsidRDefault="007C4A7C" w:rsidP="009F6F64">
      <w:pPr>
        <w:jc w:val="center"/>
      </w:pPr>
      <w:r>
        <w:rPr>
          <w:noProof/>
          <w:lang w:eastAsia="fr-FR"/>
        </w:rPr>
        <w:pict>
          <v:shapetype id="_x0000_t202" coordsize="21600,21600" o:spt="202" path="m0,0l0,21600,21600,21600,21600,0xe">
            <v:stroke joinstyle="miter"/>
            <v:path gradientshapeok="t" o:connecttype="rect"/>
          </v:shapetype>
          <v:shape id="Zone de texte 2" o:spid="_x0000_s1037" type="#_x0000_t202" style="position:absolute;left:0;text-align:left;margin-left:373.15pt;margin-top:55.1pt;width:124.5pt;height:183.7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" stroked="f">
            <v:textbox>
              <w:txbxContent>
                <w:p w:rsidR="00740144" w:rsidRPr="0027118B" w:rsidRDefault="00740144">
                  <w:pPr>
                    <w:rPr>
                      <w:sz w:val="18"/>
                      <w:szCs w:val="18"/>
                    </w:rPr>
                  </w:pPr>
                  <w:r w:rsidRPr="0027118B">
                    <w:rPr>
                      <w:sz w:val="18"/>
                      <w:szCs w:val="18"/>
                    </w:rPr>
                    <w:t>ETT : Entreprise de Travail Temporaire</w:t>
                  </w:r>
                </w:p>
                <w:p w:rsidR="00740144" w:rsidRPr="0027118B" w:rsidRDefault="00740144">
                  <w:pPr>
                    <w:rPr>
                      <w:sz w:val="18"/>
                      <w:szCs w:val="18"/>
                    </w:rPr>
                  </w:pPr>
                  <w:r w:rsidRPr="0027118B">
                    <w:rPr>
                      <w:sz w:val="18"/>
                      <w:szCs w:val="18"/>
                    </w:rPr>
                    <w:t>ACI : Atelier et Chantier Insertion</w:t>
                  </w:r>
                </w:p>
                <w:p w:rsidR="00740144" w:rsidRDefault="00740144">
                  <w:pPr>
                    <w:rPr>
                      <w:sz w:val="18"/>
                      <w:szCs w:val="18"/>
                    </w:rPr>
                  </w:pPr>
                  <w:r w:rsidRPr="0027118B">
                    <w:rPr>
                      <w:sz w:val="18"/>
                      <w:szCs w:val="18"/>
                    </w:rPr>
                    <w:t>AI : Association Intermédiaire</w:t>
                  </w:r>
                </w:p>
                <w:p w:rsidR="00740144" w:rsidRDefault="00740144">
                  <w:pPr>
                    <w:rPr>
                      <w:sz w:val="18"/>
                      <w:szCs w:val="18"/>
                    </w:rPr>
                  </w:pPr>
                  <w:r>
                    <w:rPr>
                      <w:sz w:val="18"/>
                      <w:szCs w:val="18"/>
                    </w:rPr>
                    <w:t>ETTI : Entreprise de Travail temporaire Insertion</w:t>
                  </w:r>
                </w:p>
                <w:p w:rsidR="00740144" w:rsidRPr="0027118B" w:rsidRDefault="00740144">
                  <w:pPr>
                    <w:rPr>
                      <w:sz w:val="18"/>
                      <w:szCs w:val="18"/>
                    </w:rPr>
                  </w:pPr>
                  <w:r>
                    <w:rPr>
                      <w:sz w:val="18"/>
                      <w:szCs w:val="18"/>
                    </w:rPr>
                    <w:t>GEIQ : Groupement Employeurs pour l’Insertion et la Qualification</w:t>
                  </w:r>
                </w:p>
              </w:txbxContent>
            </v:textbox>
          </v:shape>
        </w:pict>
      </w:r>
      <w:r w:rsidR="00771071">
        <w:rPr>
          <w:noProof/>
          <w:lang w:eastAsia="fr-FR"/>
        </w:rPr>
        <w:drawing>
          <wp:inline distT="0" distB="0" distL="0" distR="0">
            <wp:extent cx="4622800" cy="2806700"/>
            <wp:effectExtent l="0" t="0" r="0" b="0"/>
            <wp:docPr id="21" name="Graphique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740144" w:rsidRDefault="00771071" w:rsidP="009F6F64">
      <w:pPr>
        <w:jc w:val="center"/>
      </w:pPr>
      <w:r>
        <w:rPr>
          <w:noProof/>
          <w:lang w:eastAsia="fr-FR"/>
        </w:rPr>
        <w:drawing>
          <wp:inline distT="0" distB="0" distL="0" distR="0">
            <wp:extent cx="4978400" cy="3594100"/>
            <wp:effectExtent l="0" t="0" r="0" b="0"/>
            <wp:docPr id="22" name="Graphique 38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740144" w:rsidRDefault="00740144" w:rsidP="001D1A71">
      <w:pPr>
        <w:spacing w:line="240" w:lineRule="auto"/>
        <w:jc w:val="both"/>
        <w:rPr>
          <w:sz w:val="24"/>
          <w:szCs w:val="24"/>
        </w:rPr>
      </w:pPr>
      <w:r w:rsidRPr="004D14BA">
        <w:rPr>
          <w:sz w:val="24"/>
          <w:szCs w:val="24"/>
        </w:rPr>
        <w:t>Cette augmentation résulte du développement du partenariat conduit par le PLIE de Bordeaux auprès des SIAE de notre territoire dans un but de promotion de leur offre d’insertion tant auprès des entreprises que des donneurs d’ordres.</w:t>
      </w:r>
    </w:p>
    <w:p w:rsidR="00740144" w:rsidRPr="004D14BA" w:rsidRDefault="00740144" w:rsidP="001D1A71">
      <w:pPr>
        <w:spacing w:line="240" w:lineRule="auto"/>
        <w:jc w:val="both"/>
        <w:rPr>
          <w:sz w:val="24"/>
          <w:szCs w:val="24"/>
        </w:rPr>
      </w:pPr>
      <w:r>
        <w:rPr>
          <w:sz w:val="24"/>
          <w:szCs w:val="24"/>
        </w:rPr>
        <w:t>De plus, le nombre élevé des heures réalisées par les Associations Intermédiaires émane majoritairement de l’importance des marchés d’insertion confiés par la Ville de Bordeaux.</w:t>
      </w:r>
    </w:p>
    <w:p w:rsidR="00740144" w:rsidRPr="00E443FF" w:rsidRDefault="00740144">
      <w:pPr>
        <w:rPr>
          <w:b/>
          <w:sz w:val="16"/>
          <w:szCs w:val="16"/>
        </w:rPr>
      </w:pPr>
    </w:p>
    <w:p w:rsidR="00740144" w:rsidRPr="001D1A71" w:rsidRDefault="00740144">
      <w:pPr>
        <w:rPr>
          <w:b/>
          <w:color w:val="76923C"/>
          <w:sz w:val="24"/>
          <w:szCs w:val="24"/>
        </w:rPr>
      </w:pPr>
      <w:r w:rsidRPr="001D1A71">
        <w:rPr>
          <w:b/>
          <w:color w:val="76923C"/>
          <w:sz w:val="24"/>
          <w:szCs w:val="24"/>
        </w:rPr>
        <w:t xml:space="preserve">Notre action se décline à deux niveaux : </w:t>
      </w:r>
    </w:p>
    <w:p w:rsidR="00740144" w:rsidRPr="004D14BA" w:rsidRDefault="00740144" w:rsidP="001D1A71">
      <w:pPr>
        <w:spacing w:after="120"/>
        <w:jc w:val="both"/>
        <w:rPr>
          <w:sz w:val="24"/>
          <w:szCs w:val="24"/>
        </w:rPr>
      </w:pPr>
      <w:r w:rsidRPr="004D14BA">
        <w:rPr>
          <w:sz w:val="24"/>
          <w:szCs w:val="24"/>
        </w:rPr>
        <w:t xml:space="preserve">1. Auprès </w:t>
      </w:r>
      <w:r w:rsidRPr="004D14BA">
        <w:rPr>
          <w:b/>
          <w:sz w:val="24"/>
          <w:szCs w:val="24"/>
        </w:rPr>
        <w:t>des entreprises attributaires</w:t>
      </w:r>
      <w:r w:rsidRPr="004D14BA">
        <w:rPr>
          <w:sz w:val="24"/>
          <w:szCs w:val="24"/>
        </w:rPr>
        <w:t xml:space="preserve"> d’un march</w:t>
      </w:r>
      <w:r>
        <w:rPr>
          <w:sz w:val="24"/>
          <w:szCs w:val="24"/>
        </w:rPr>
        <w:t>é intégrant une clause sociale</w:t>
      </w:r>
      <w:r w:rsidRPr="004D14BA">
        <w:rPr>
          <w:sz w:val="24"/>
          <w:szCs w:val="24"/>
        </w:rPr>
        <w:t xml:space="preserve"> afin d’envisager : </w:t>
      </w:r>
    </w:p>
    <w:p w:rsidR="00740144" w:rsidRPr="004D14BA" w:rsidRDefault="00740144" w:rsidP="001D1A71">
      <w:pPr>
        <w:spacing w:after="0" w:line="240" w:lineRule="auto"/>
        <w:ind w:left="567"/>
        <w:jc w:val="both"/>
        <w:rPr>
          <w:sz w:val="24"/>
          <w:szCs w:val="24"/>
        </w:rPr>
      </w:pPr>
      <w:r w:rsidRPr="004D14BA">
        <w:rPr>
          <w:sz w:val="24"/>
          <w:szCs w:val="24"/>
        </w:rPr>
        <w:t>- le recours à une mise à disposition de personnel via les associations intermédiaires (AI), les entreprises de travail temporaires (ETTI) ou d’un groupement d’employeurs pour l’insertion et la qualification (GEIQ).</w:t>
      </w:r>
    </w:p>
    <w:p w:rsidR="00740144" w:rsidRPr="004D14BA" w:rsidRDefault="00740144" w:rsidP="001D1A71">
      <w:pPr>
        <w:spacing w:after="0" w:line="240" w:lineRule="auto"/>
        <w:ind w:left="567"/>
        <w:jc w:val="both"/>
        <w:rPr>
          <w:sz w:val="24"/>
          <w:szCs w:val="24"/>
        </w:rPr>
      </w:pPr>
      <w:r w:rsidRPr="004D14BA">
        <w:rPr>
          <w:sz w:val="24"/>
          <w:szCs w:val="24"/>
        </w:rPr>
        <w:t>- la sous traitance d’une partie des travaux à une entreprise insertion, une régie de quartier ou un atelier chantier insertion.</w:t>
      </w:r>
    </w:p>
    <w:p w:rsidR="00740144" w:rsidRPr="004D14BA" w:rsidRDefault="00740144" w:rsidP="00867B3A">
      <w:pPr>
        <w:spacing w:after="0"/>
        <w:jc w:val="both"/>
        <w:rPr>
          <w:sz w:val="24"/>
          <w:szCs w:val="24"/>
        </w:rPr>
      </w:pPr>
    </w:p>
    <w:p w:rsidR="00740144" w:rsidRPr="004D14BA" w:rsidRDefault="00740144" w:rsidP="001D1A71">
      <w:pPr>
        <w:autoSpaceDE w:val="0"/>
        <w:autoSpaceDN w:val="0"/>
        <w:adjustRightInd w:val="0"/>
        <w:spacing w:before="120" w:after="120" w:line="240" w:lineRule="auto"/>
        <w:jc w:val="both"/>
        <w:rPr>
          <w:rFonts w:cs="Calibri"/>
          <w:sz w:val="24"/>
          <w:szCs w:val="24"/>
        </w:rPr>
      </w:pPr>
      <w:r w:rsidRPr="004D14BA">
        <w:rPr>
          <w:rFonts w:cs="Calibri"/>
          <w:sz w:val="24"/>
          <w:szCs w:val="24"/>
        </w:rPr>
        <w:t xml:space="preserve">2. Auprès </w:t>
      </w:r>
      <w:r w:rsidRPr="004D14BA">
        <w:rPr>
          <w:rFonts w:cs="Calibri,Bold"/>
          <w:b/>
          <w:bCs/>
          <w:sz w:val="24"/>
          <w:szCs w:val="24"/>
        </w:rPr>
        <w:t xml:space="preserve">des donneurs d’ordre dans une logique d’achat socio responsable </w:t>
      </w:r>
      <w:r w:rsidRPr="004D14BA">
        <w:rPr>
          <w:rFonts w:cs="Calibri"/>
          <w:sz w:val="24"/>
          <w:szCs w:val="24"/>
        </w:rPr>
        <w:t xml:space="preserve">en leur proposant, de développer et soutenir l’offre IAE dans leur politique d’achat : </w:t>
      </w:r>
    </w:p>
    <w:p w:rsidR="00740144" w:rsidRPr="004D14BA" w:rsidRDefault="00740144" w:rsidP="001D1A71">
      <w:pPr>
        <w:autoSpaceDE w:val="0"/>
        <w:autoSpaceDN w:val="0"/>
        <w:adjustRightInd w:val="0"/>
        <w:spacing w:after="0" w:line="240" w:lineRule="auto"/>
        <w:ind w:left="567"/>
        <w:jc w:val="both"/>
        <w:rPr>
          <w:rFonts w:cs="Calibri"/>
          <w:sz w:val="24"/>
          <w:szCs w:val="24"/>
        </w:rPr>
      </w:pPr>
      <w:r w:rsidRPr="004D14BA">
        <w:rPr>
          <w:rFonts w:cs="Symbol"/>
          <w:sz w:val="24"/>
          <w:szCs w:val="24"/>
        </w:rPr>
        <w:t xml:space="preserve">- </w:t>
      </w:r>
      <w:r w:rsidRPr="004D14BA">
        <w:rPr>
          <w:rFonts w:cs="Calibri"/>
          <w:sz w:val="24"/>
          <w:szCs w:val="24"/>
        </w:rPr>
        <w:t>en favorisant les marchés d’insertion et de qualification professionnelle</w:t>
      </w:r>
      <w:r>
        <w:rPr>
          <w:rFonts w:cs="Calibri"/>
          <w:sz w:val="24"/>
          <w:szCs w:val="24"/>
        </w:rPr>
        <w:t>,</w:t>
      </w:r>
    </w:p>
    <w:p w:rsidR="00740144" w:rsidRDefault="00740144" w:rsidP="001D1A71">
      <w:pPr>
        <w:autoSpaceDE w:val="0"/>
        <w:autoSpaceDN w:val="0"/>
        <w:adjustRightInd w:val="0"/>
        <w:spacing w:after="0" w:line="240" w:lineRule="auto"/>
        <w:ind w:left="567"/>
        <w:jc w:val="both"/>
        <w:rPr>
          <w:rFonts w:cs="Calibri"/>
          <w:sz w:val="24"/>
          <w:szCs w:val="24"/>
        </w:rPr>
      </w:pPr>
      <w:r w:rsidRPr="004D14BA">
        <w:rPr>
          <w:rFonts w:cs="Symbol"/>
          <w:sz w:val="24"/>
          <w:szCs w:val="24"/>
        </w:rPr>
        <w:t xml:space="preserve">- </w:t>
      </w:r>
      <w:r w:rsidRPr="004D14BA">
        <w:rPr>
          <w:rFonts w:cs="Calibri"/>
          <w:sz w:val="24"/>
          <w:szCs w:val="24"/>
        </w:rPr>
        <w:t xml:space="preserve">en introduisant dans la consultation des entreprises un critère d’attribution </w:t>
      </w:r>
    </w:p>
    <w:p w:rsidR="00740144" w:rsidRPr="004D14BA" w:rsidRDefault="00740144" w:rsidP="001D1A71">
      <w:pPr>
        <w:autoSpaceDE w:val="0"/>
        <w:autoSpaceDN w:val="0"/>
        <w:adjustRightInd w:val="0"/>
        <w:spacing w:after="0" w:line="240" w:lineRule="auto"/>
        <w:ind w:left="567"/>
        <w:jc w:val="both"/>
        <w:rPr>
          <w:rFonts w:cs="Calibri"/>
          <w:sz w:val="24"/>
          <w:szCs w:val="24"/>
        </w:rPr>
      </w:pPr>
      <w:r w:rsidRPr="004D14BA">
        <w:rPr>
          <w:rFonts w:cs="Calibri"/>
          <w:sz w:val="24"/>
          <w:szCs w:val="24"/>
        </w:rPr>
        <w:t>« Insertion socioprofessionnelle » comme critère de sélection des offres</w:t>
      </w:r>
      <w:r>
        <w:rPr>
          <w:rFonts w:cs="Calibri"/>
          <w:sz w:val="24"/>
          <w:szCs w:val="24"/>
        </w:rPr>
        <w:t>,</w:t>
      </w:r>
    </w:p>
    <w:p w:rsidR="00740144" w:rsidRPr="004D14BA" w:rsidRDefault="00740144" w:rsidP="001D1A71">
      <w:pPr>
        <w:spacing w:after="0" w:line="240" w:lineRule="auto"/>
        <w:ind w:left="567"/>
        <w:jc w:val="both"/>
        <w:rPr>
          <w:rFonts w:cs="Calibri"/>
          <w:sz w:val="24"/>
          <w:szCs w:val="24"/>
        </w:rPr>
      </w:pPr>
      <w:r w:rsidRPr="004D14BA">
        <w:rPr>
          <w:rFonts w:cs="Symbol"/>
          <w:sz w:val="24"/>
          <w:szCs w:val="24"/>
        </w:rPr>
        <w:t xml:space="preserve">- </w:t>
      </w:r>
      <w:r w:rsidRPr="004D14BA">
        <w:rPr>
          <w:rFonts w:cs="Calibri"/>
          <w:sz w:val="24"/>
          <w:szCs w:val="24"/>
        </w:rPr>
        <w:t>en consultant des SIAE dans le cadre des mises en concurrence</w:t>
      </w:r>
      <w:r>
        <w:rPr>
          <w:rFonts w:cs="Calibri"/>
          <w:sz w:val="24"/>
          <w:szCs w:val="24"/>
        </w:rPr>
        <w:t>.</w:t>
      </w:r>
    </w:p>
    <w:p w:rsidR="00740144" w:rsidRPr="004D14BA" w:rsidRDefault="00740144" w:rsidP="005657A3">
      <w:pPr>
        <w:ind w:left="567"/>
        <w:rPr>
          <w:sz w:val="24"/>
          <w:szCs w:val="24"/>
        </w:rPr>
      </w:pPr>
    </w:p>
    <w:p w:rsidR="00740144" w:rsidRDefault="00740144" w:rsidP="001D1A71">
      <w:pPr>
        <w:spacing w:line="240" w:lineRule="auto"/>
        <w:jc w:val="both"/>
        <w:rPr>
          <w:sz w:val="24"/>
          <w:szCs w:val="24"/>
        </w:rPr>
      </w:pPr>
      <w:r w:rsidRPr="004D14BA">
        <w:rPr>
          <w:sz w:val="24"/>
          <w:szCs w:val="24"/>
        </w:rPr>
        <w:t xml:space="preserve">En 2012, la conjoncture économique impacte également le choix des modalités de réalisation des heures insertion, les entreprises ont privilégié le recours aux missions intérimaires via les entreprises de travail temporaires insertion. </w:t>
      </w:r>
    </w:p>
    <w:p w:rsidR="00740144" w:rsidRPr="004D14BA" w:rsidRDefault="00740144" w:rsidP="001D1A71">
      <w:pPr>
        <w:spacing w:line="240" w:lineRule="auto"/>
        <w:jc w:val="both"/>
        <w:rPr>
          <w:sz w:val="24"/>
          <w:szCs w:val="24"/>
        </w:rPr>
      </w:pPr>
      <w:r w:rsidRPr="004D14BA">
        <w:rPr>
          <w:sz w:val="24"/>
          <w:szCs w:val="24"/>
        </w:rPr>
        <w:t xml:space="preserve">Malgré une sollicitation des entreprises de travail temporaires classiques dans un contexte très tendu, le recours aux ETTI reste grandement majoritaire. </w:t>
      </w:r>
    </w:p>
    <w:p w:rsidR="00740144" w:rsidRPr="004D14BA" w:rsidRDefault="00740144" w:rsidP="001D1A71">
      <w:pPr>
        <w:spacing w:line="240" w:lineRule="auto"/>
        <w:jc w:val="both"/>
        <w:rPr>
          <w:sz w:val="24"/>
          <w:szCs w:val="24"/>
        </w:rPr>
      </w:pPr>
      <w:r w:rsidRPr="004D14BA">
        <w:rPr>
          <w:sz w:val="24"/>
          <w:szCs w:val="24"/>
        </w:rPr>
        <w:t>Une baisse des embauches directes est à noter, elles représentaient 19% des heures en 2011 contre 15% en 2012.</w:t>
      </w:r>
    </w:p>
    <w:p w:rsidR="00740144" w:rsidRPr="004D14BA" w:rsidRDefault="00740144" w:rsidP="00867B3A">
      <w:pPr>
        <w:rPr>
          <w:sz w:val="24"/>
          <w:szCs w:val="24"/>
        </w:rPr>
      </w:pPr>
      <w:r w:rsidRPr="004D14BA">
        <w:rPr>
          <w:sz w:val="24"/>
          <w:szCs w:val="24"/>
        </w:rPr>
        <w:t xml:space="preserve">Le recours aux Ateliers et Chantiers </w:t>
      </w:r>
      <w:r>
        <w:rPr>
          <w:sz w:val="24"/>
          <w:szCs w:val="24"/>
        </w:rPr>
        <w:t xml:space="preserve">Insertion (ACI) </w:t>
      </w:r>
      <w:r w:rsidRPr="004D14BA">
        <w:rPr>
          <w:sz w:val="24"/>
          <w:szCs w:val="24"/>
        </w:rPr>
        <w:t xml:space="preserve">et aux Entreprises Insertion </w:t>
      </w:r>
      <w:r>
        <w:rPr>
          <w:sz w:val="24"/>
          <w:szCs w:val="24"/>
        </w:rPr>
        <w:t>(EI) reste à développer.</w:t>
      </w:r>
    </w:p>
    <w:p w:rsidR="00740144" w:rsidRPr="00515F5C" w:rsidRDefault="00740144" w:rsidP="001D1A71">
      <w:pPr>
        <w:spacing w:line="240" w:lineRule="auto"/>
        <w:jc w:val="both"/>
        <w:rPr>
          <w:rFonts w:ascii="Franklin Gothic Book" w:hAnsi="Franklin Gothic Book"/>
          <w:sz w:val="24"/>
          <w:szCs w:val="24"/>
        </w:rPr>
      </w:pPr>
      <w:r>
        <w:rPr>
          <w:sz w:val="24"/>
          <w:szCs w:val="24"/>
        </w:rPr>
        <w:t>En 2013,u</w:t>
      </w:r>
      <w:r w:rsidRPr="004D14BA">
        <w:rPr>
          <w:sz w:val="24"/>
          <w:szCs w:val="24"/>
        </w:rPr>
        <w:t xml:space="preserve">n projet permettant de créer un ACI Bâtiment Second Œuvre dans le cadre des opérations de réhabilitation de logements sociaux du projet </w:t>
      </w:r>
      <w:r>
        <w:rPr>
          <w:sz w:val="24"/>
          <w:szCs w:val="24"/>
        </w:rPr>
        <w:t>Bordeaux [Re]Centres</w:t>
      </w:r>
      <w:r w:rsidRPr="004D14BA">
        <w:rPr>
          <w:sz w:val="24"/>
          <w:szCs w:val="24"/>
        </w:rPr>
        <w:t xml:space="preserve"> est initié en lien avec les bailleurs sociaux.</w:t>
      </w:r>
    </w:p>
    <w:p w:rsidR="00740144" w:rsidRDefault="00740144">
      <w:pPr>
        <w:rPr>
          <w:rFonts w:ascii="Franklin Gothic Book" w:hAnsi="Franklin Gothic Book"/>
        </w:rPr>
      </w:pPr>
      <w:r>
        <w:rPr>
          <w:rFonts w:ascii="Franklin Gothic Book" w:hAnsi="Franklin Gothic Book"/>
        </w:rPr>
        <w:br w:type="page"/>
      </w:r>
    </w:p>
    <w:p w:rsidR="00740144" w:rsidRDefault="00740144" w:rsidP="00615362">
      <w:pPr>
        <w:pStyle w:val="Paragraphedeliste"/>
        <w:numPr>
          <w:ilvl w:val="0"/>
          <w:numId w:val="1"/>
        </w:numPr>
        <w:tabs>
          <w:tab w:val="num" w:pos="426"/>
        </w:tabs>
        <w:ind w:left="709" w:hanging="709"/>
        <w:rPr>
          <w:sz w:val="36"/>
        </w:rPr>
      </w:pPr>
      <w:r>
        <w:rPr>
          <w:rFonts w:ascii="Calibri" w:hAnsi="Calibri" w:cs="+mn-cs"/>
          <w:color w:val="4F6228"/>
          <w:sz w:val="36"/>
          <w:szCs w:val="36"/>
        </w:rPr>
        <w:t>Répartition des heures réalisées par les SIAE de Bordeaux</w:t>
      </w:r>
    </w:p>
    <w:p w:rsidR="00740144" w:rsidRDefault="00740144" w:rsidP="00867B3A">
      <w:pPr>
        <w:rPr>
          <w:rFonts w:ascii="Franklin Gothic Book" w:hAnsi="Franklin Gothic Book"/>
        </w:rPr>
      </w:pPr>
    </w:p>
    <w:p w:rsidR="00740144" w:rsidRPr="004D14BA" w:rsidRDefault="00740144" w:rsidP="005540C9">
      <w:pPr>
        <w:jc w:val="both"/>
        <w:rPr>
          <w:sz w:val="24"/>
          <w:szCs w:val="24"/>
        </w:rPr>
      </w:pPr>
      <w:r w:rsidRPr="004D14BA">
        <w:rPr>
          <w:sz w:val="24"/>
          <w:szCs w:val="24"/>
        </w:rPr>
        <w:t>L’action du PLIE contribue également à favoriser et développer l’activité des Structures</w:t>
      </w:r>
      <w:r>
        <w:rPr>
          <w:sz w:val="24"/>
          <w:szCs w:val="24"/>
        </w:rPr>
        <w:t xml:space="preserve"> d’Insertion de Bordeaux pour rapprocher les publics </w:t>
      </w:r>
      <w:bookmarkStart w:id="0" w:name="_GoBack"/>
      <w:bookmarkEnd w:id="0"/>
      <w:r w:rsidRPr="004D14BA">
        <w:rPr>
          <w:sz w:val="24"/>
          <w:szCs w:val="24"/>
        </w:rPr>
        <w:t>des perspectives de recrutement liées à la clause inse</w:t>
      </w:r>
      <w:r>
        <w:rPr>
          <w:sz w:val="24"/>
          <w:szCs w:val="24"/>
        </w:rPr>
        <w:t xml:space="preserve">rtion sur les opérations </w:t>
      </w:r>
      <w:r w:rsidRPr="004D14BA">
        <w:rPr>
          <w:sz w:val="24"/>
          <w:szCs w:val="24"/>
        </w:rPr>
        <w:t>de Bordeaux.</w:t>
      </w:r>
    </w:p>
    <w:p w:rsidR="00740144" w:rsidRPr="004D14BA" w:rsidRDefault="00740144">
      <w:pPr>
        <w:rPr>
          <w:b/>
          <w:sz w:val="24"/>
          <w:szCs w:val="24"/>
        </w:rPr>
      </w:pPr>
      <w:r w:rsidRPr="004D14BA">
        <w:rPr>
          <w:b/>
          <w:sz w:val="24"/>
          <w:szCs w:val="24"/>
        </w:rPr>
        <w:t>La part des heures insertion confiée aux opérateurs d’insertion de Bordeaux représente 82% des heures totales des SIAE mobilisée en 2012 : Bordeaux Inter Challenge, ARE 33, Aquitaine Intérim Insertion et Garage moderne.</w:t>
      </w:r>
    </w:p>
    <w:p w:rsidR="00740144" w:rsidRDefault="00771071">
      <w:r>
        <w:rPr>
          <w:noProof/>
          <w:lang w:eastAsia="fr-FR"/>
        </w:rPr>
        <w:drawing>
          <wp:inline distT="0" distB="0" distL="0" distR="0">
            <wp:extent cx="5754129" cy="1231900"/>
            <wp:effectExtent l="24371" t="0" r="0" b="0"/>
            <wp:docPr id="23" name="Diagramme 24"/>
            <wp:cNvGraphicFramePr>
              <a:graphicFrameLocks xmlns:a="http://schemas.openxmlformats.org/drawingml/2006/main"/>
            </wp:cNvGraphicFramePr>
            <a:graphic xmlns:a="http://schemas.openxmlformats.org/drawingml/2006/main">
              <a:graphicData uri="http://schemas.openxmlformats.org/drawingml/2006/diagram">
                <a:relIds xmlns:dgm="http://schemas.openxmlformats.org/drawingml/2006/diagram" xmlns:r="http://schemas.openxmlformats.org/officeDocument/2006/relationships" r:dm="rId60" r:lo="rId61" r:qs="rId62" r:cs="rId63"/>
              </a:graphicData>
            </a:graphic>
          </wp:inline>
        </w:drawing>
      </w:r>
    </w:p>
    <w:p w:rsidR="00740144" w:rsidRPr="00031910" w:rsidRDefault="00740144">
      <w:pPr>
        <w:rPr>
          <w:b/>
          <w:sz w:val="24"/>
          <w:szCs w:val="24"/>
        </w:rPr>
      </w:pPr>
      <w:r>
        <w:rPr>
          <w:sz w:val="24"/>
          <w:szCs w:val="24"/>
        </w:rPr>
        <w:t>Les heures de travail réalisées</w:t>
      </w:r>
      <w:r w:rsidRPr="00031910">
        <w:rPr>
          <w:sz w:val="24"/>
          <w:szCs w:val="24"/>
        </w:rPr>
        <w:t xml:space="preserve"> dans </w:t>
      </w:r>
      <w:r>
        <w:rPr>
          <w:sz w:val="24"/>
          <w:szCs w:val="24"/>
        </w:rPr>
        <w:t xml:space="preserve">le cadre de la clause sociales </w:t>
      </w:r>
      <w:r w:rsidRPr="00031910">
        <w:rPr>
          <w:sz w:val="24"/>
          <w:szCs w:val="24"/>
        </w:rPr>
        <w:t xml:space="preserve">ont été effectuées via </w:t>
      </w:r>
      <w:r w:rsidRPr="00031910">
        <w:rPr>
          <w:b/>
          <w:sz w:val="24"/>
          <w:szCs w:val="24"/>
        </w:rPr>
        <w:t>549 contrats</w:t>
      </w:r>
      <w:r w:rsidRPr="00031910">
        <w:rPr>
          <w:sz w:val="24"/>
          <w:szCs w:val="24"/>
        </w:rPr>
        <w:t xml:space="preserve">, </w:t>
      </w:r>
      <w:r w:rsidRPr="00031910">
        <w:rPr>
          <w:b/>
          <w:sz w:val="24"/>
          <w:szCs w:val="24"/>
        </w:rPr>
        <w:t>dont 60 de plus de 6 mois (classiques et insertion).</w:t>
      </w:r>
    </w:p>
    <w:p w:rsidR="00740144" w:rsidRPr="00031910" w:rsidRDefault="00740144">
      <w:pPr>
        <w:rPr>
          <w:sz w:val="24"/>
          <w:szCs w:val="24"/>
        </w:rPr>
      </w:pPr>
      <w:r w:rsidRPr="00031910">
        <w:rPr>
          <w:sz w:val="24"/>
          <w:szCs w:val="24"/>
        </w:rPr>
        <w:t>La typologie des contrats varient en fonction de la modalité retenue par l’entreprise et de la situation du public.</w:t>
      </w:r>
    </w:p>
    <w:p w:rsidR="00740144" w:rsidRDefault="00740144"/>
    <w:p w:rsidR="00740144" w:rsidRDefault="00771071" w:rsidP="00BD63B9">
      <w:pPr>
        <w:jc w:val="center"/>
      </w:pPr>
      <w:r>
        <w:rPr>
          <w:noProof/>
          <w:lang w:eastAsia="fr-FR"/>
        </w:rPr>
        <w:drawing>
          <wp:inline distT="0" distB="0" distL="0" distR="0">
            <wp:extent cx="4953000" cy="2844800"/>
            <wp:effectExtent l="0" t="0" r="0" b="0"/>
            <wp:docPr id="24" name="Graphique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740144" w:rsidRDefault="00740144"/>
    <w:p w:rsidR="00740144" w:rsidRDefault="00740144"/>
    <w:p w:rsidR="00740144" w:rsidRPr="00B6021A" w:rsidRDefault="00740144" w:rsidP="00031910">
      <w:pPr>
        <w:rPr>
          <w:b/>
          <w:sz w:val="24"/>
          <w:szCs w:val="24"/>
        </w:rPr>
      </w:pPr>
      <w:r w:rsidRPr="00B6021A">
        <w:rPr>
          <w:b/>
          <w:sz w:val="24"/>
          <w:szCs w:val="24"/>
        </w:rPr>
        <w:t>1. Les contrats portés</w:t>
      </w:r>
      <w:r>
        <w:rPr>
          <w:b/>
          <w:sz w:val="24"/>
          <w:szCs w:val="24"/>
        </w:rPr>
        <w:t xml:space="preserve"> par</w:t>
      </w:r>
      <w:r w:rsidRPr="00B6021A">
        <w:rPr>
          <w:b/>
          <w:sz w:val="24"/>
          <w:szCs w:val="24"/>
        </w:rPr>
        <w:t xml:space="preserve"> les Structures </w:t>
      </w:r>
      <w:r>
        <w:rPr>
          <w:b/>
          <w:sz w:val="24"/>
          <w:szCs w:val="24"/>
        </w:rPr>
        <w:t>d’</w:t>
      </w:r>
      <w:r w:rsidRPr="00B6021A">
        <w:rPr>
          <w:b/>
          <w:sz w:val="24"/>
          <w:szCs w:val="24"/>
        </w:rPr>
        <w:t>Insertion par l’Activité Economique représentent  plus de 80% des contrats mobilisés en 2012.</w:t>
      </w:r>
    </w:p>
    <w:p w:rsidR="00740144" w:rsidRPr="00A916F0" w:rsidRDefault="00740144" w:rsidP="00A916F0">
      <w:pPr>
        <w:spacing w:after="120" w:line="240" w:lineRule="auto"/>
        <w:ind w:left="284"/>
        <w:jc w:val="both"/>
        <w:rPr>
          <w:sz w:val="24"/>
          <w:szCs w:val="24"/>
        </w:rPr>
      </w:pPr>
      <w:r w:rsidRPr="00A916F0">
        <w:rPr>
          <w:sz w:val="24"/>
          <w:szCs w:val="24"/>
        </w:rPr>
        <w:t xml:space="preserve">- </w:t>
      </w:r>
      <w:r>
        <w:rPr>
          <w:sz w:val="24"/>
          <w:szCs w:val="24"/>
        </w:rPr>
        <w:t xml:space="preserve">28 contrats aidés </w:t>
      </w:r>
      <w:r w:rsidRPr="00A916F0">
        <w:rPr>
          <w:sz w:val="24"/>
          <w:szCs w:val="24"/>
        </w:rPr>
        <w:t>CUI-CAE pour les Ateliers et Chantiers Insertion (ACI « Aux Rayons bicyclettes du Garage Moderne et ACI « Fil de faire »)</w:t>
      </w:r>
    </w:p>
    <w:p w:rsidR="00740144" w:rsidRPr="00A916F0" w:rsidRDefault="00740144" w:rsidP="00A916F0">
      <w:pPr>
        <w:spacing w:after="120" w:line="240" w:lineRule="auto"/>
        <w:ind w:left="284"/>
        <w:jc w:val="both"/>
        <w:rPr>
          <w:sz w:val="24"/>
          <w:szCs w:val="24"/>
        </w:rPr>
      </w:pPr>
      <w:r w:rsidRPr="00A916F0">
        <w:rPr>
          <w:sz w:val="24"/>
          <w:szCs w:val="24"/>
        </w:rPr>
        <w:t xml:space="preserve">- </w:t>
      </w:r>
      <w:r>
        <w:rPr>
          <w:sz w:val="24"/>
          <w:szCs w:val="24"/>
        </w:rPr>
        <w:t>229 Missions Intérim effectuées</w:t>
      </w:r>
      <w:r w:rsidRPr="00A916F0">
        <w:rPr>
          <w:sz w:val="24"/>
          <w:szCs w:val="24"/>
        </w:rPr>
        <w:t xml:space="preserve"> par les En</w:t>
      </w:r>
      <w:r>
        <w:rPr>
          <w:sz w:val="24"/>
          <w:szCs w:val="24"/>
        </w:rPr>
        <w:t>treprises de Travail Temporaire</w:t>
      </w:r>
      <w:r w:rsidRPr="00A916F0">
        <w:rPr>
          <w:sz w:val="24"/>
          <w:szCs w:val="24"/>
        </w:rPr>
        <w:t xml:space="preserve"> </w:t>
      </w:r>
      <w:r>
        <w:rPr>
          <w:sz w:val="24"/>
          <w:szCs w:val="24"/>
        </w:rPr>
        <w:t>d’</w:t>
      </w:r>
      <w:r w:rsidRPr="00A916F0">
        <w:rPr>
          <w:sz w:val="24"/>
          <w:szCs w:val="24"/>
        </w:rPr>
        <w:t>In</w:t>
      </w:r>
      <w:r>
        <w:rPr>
          <w:sz w:val="24"/>
          <w:szCs w:val="24"/>
        </w:rPr>
        <w:t>sertion auprès des entreprises</w:t>
      </w:r>
      <w:r w:rsidRPr="00A916F0">
        <w:rPr>
          <w:sz w:val="24"/>
          <w:szCs w:val="24"/>
        </w:rPr>
        <w:t>. Il s’agit principalement d’Aquitaine Intérim Insertion</w:t>
      </w:r>
      <w:r>
        <w:rPr>
          <w:sz w:val="24"/>
          <w:szCs w:val="24"/>
        </w:rPr>
        <w:t xml:space="preserve"> à Bordeaux</w:t>
      </w:r>
      <w:r w:rsidRPr="00A916F0">
        <w:rPr>
          <w:sz w:val="24"/>
          <w:szCs w:val="24"/>
        </w:rPr>
        <w:t xml:space="preserve">. </w:t>
      </w:r>
    </w:p>
    <w:p w:rsidR="00740144" w:rsidRDefault="00740144" w:rsidP="00A916F0">
      <w:pPr>
        <w:spacing w:after="120" w:line="240" w:lineRule="auto"/>
        <w:ind w:left="284"/>
        <w:jc w:val="both"/>
        <w:rPr>
          <w:sz w:val="24"/>
          <w:szCs w:val="24"/>
        </w:rPr>
      </w:pPr>
      <w:r w:rsidRPr="00A916F0">
        <w:rPr>
          <w:sz w:val="24"/>
          <w:szCs w:val="24"/>
        </w:rPr>
        <w:t>- 197 Contrats Usages pour les Association</w:t>
      </w:r>
      <w:r>
        <w:rPr>
          <w:sz w:val="24"/>
          <w:szCs w:val="24"/>
        </w:rPr>
        <w:t>s</w:t>
      </w:r>
      <w:r w:rsidRPr="00A916F0">
        <w:rPr>
          <w:sz w:val="24"/>
          <w:szCs w:val="24"/>
        </w:rPr>
        <w:t xml:space="preserve"> Intermédiaires : BIC et ARE33, en grande majorité dans le cadre des marchés d’insertion avec la Ville de Bordeaux.</w:t>
      </w:r>
    </w:p>
    <w:p w:rsidR="00740144" w:rsidRDefault="00740144" w:rsidP="00A916F0">
      <w:pPr>
        <w:spacing w:after="120" w:line="240" w:lineRule="auto"/>
        <w:ind w:left="284"/>
        <w:jc w:val="both"/>
        <w:rPr>
          <w:sz w:val="24"/>
          <w:szCs w:val="24"/>
        </w:rPr>
      </w:pPr>
      <w:r w:rsidRPr="00A916F0">
        <w:rPr>
          <w:sz w:val="24"/>
          <w:szCs w:val="24"/>
        </w:rPr>
        <w:t>ARE 33 assure également des missions relatives à l’entretien des bases vie sur les chantiers de Bordeaux.</w:t>
      </w:r>
    </w:p>
    <w:p w:rsidR="00740144" w:rsidRDefault="00740144" w:rsidP="00A916F0">
      <w:pPr>
        <w:spacing w:after="120" w:line="240" w:lineRule="auto"/>
        <w:ind w:left="284"/>
        <w:jc w:val="both"/>
        <w:rPr>
          <w:sz w:val="24"/>
          <w:szCs w:val="24"/>
        </w:rPr>
      </w:pPr>
    </w:p>
    <w:p w:rsidR="00740144" w:rsidRDefault="00740144" w:rsidP="001D1A71">
      <w:pPr>
        <w:spacing w:before="240" w:after="120" w:line="240" w:lineRule="auto"/>
        <w:rPr>
          <w:b/>
          <w:sz w:val="24"/>
          <w:szCs w:val="24"/>
        </w:rPr>
      </w:pPr>
      <w:r w:rsidRPr="00B6021A">
        <w:rPr>
          <w:b/>
          <w:sz w:val="24"/>
          <w:szCs w:val="24"/>
        </w:rPr>
        <w:t>2. Les 95 contrats classiqu</w:t>
      </w:r>
      <w:r>
        <w:rPr>
          <w:b/>
          <w:sz w:val="24"/>
          <w:szCs w:val="24"/>
        </w:rPr>
        <w:t>es relèvent</w:t>
      </w:r>
      <w:r w:rsidRPr="00B6021A">
        <w:rPr>
          <w:b/>
          <w:sz w:val="24"/>
          <w:szCs w:val="24"/>
        </w:rPr>
        <w:t xml:space="preserve"> d’une embauche directe réalisée par les entreprises et </w:t>
      </w:r>
      <w:r>
        <w:rPr>
          <w:b/>
          <w:sz w:val="24"/>
          <w:szCs w:val="24"/>
        </w:rPr>
        <w:t xml:space="preserve">par </w:t>
      </w:r>
      <w:r w:rsidRPr="00B6021A">
        <w:rPr>
          <w:b/>
          <w:sz w:val="24"/>
          <w:szCs w:val="24"/>
        </w:rPr>
        <w:t>le Groupement d’Employeurs pour l’Insertion et la Qualification (GEIQ FP).</w:t>
      </w:r>
    </w:p>
    <w:p w:rsidR="00740144" w:rsidRPr="00A916F0" w:rsidRDefault="00740144" w:rsidP="00C4748C">
      <w:pPr>
        <w:spacing w:before="120" w:after="120" w:line="240" w:lineRule="auto"/>
        <w:rPr>
          <w:sz w:val="24"/>
          <w:szCs w:val="24"/>
        </w:rPr>
      </w:pPr>
      <w:r w:rsidRPr="00A916F0">
        <w:rPr>
          <w:sz w:val="24"/>
          <w:szCs w:val="24"/>
        </w:rPr>
        <w:t>La part des missions int</w:t>
      </w:r>
      <w:r>
        <w:rPr>
          <w:sz w:val="24"/>
          <w:szCs w:val="24"/>
        </w:rPr>
        <w:t xml:space="preserve">érim classiques est très faible : </w:t>
      </w:r>
      <w:r w:rsidRPr="00A916F0">
        <w:rPr>
          <w:sz w:val="24"/>
          <w:szCs w:val="24"/>
        </w:rPr>
        <w:t>5,6%.</w:t>
      </w:r>
    </w:p>
    <w:p w:rsidR="00740144" w:rsidRPr="00A916F0" w:rsidRDefault="00740144" w:rsidP="00A916F0">
      <w:pPr>
        <w:spacing w:after="120" w:line="240" w:lineRule="auto"/>
        <w:jc w:val="both"/>
        <w:rPr>
          <w:sz w:val="24"/>
          <w:szCs w:val="24"/>
        </w:rPr>
      </w:pPr>
      <w:r w:rsidRPr="00A916F0">
        <w:rPr>
          <w:sz w:val="24"/>
          <w:szCs w:val="24"/>
        </w:rPr>
        <w:t xml:space="preserve"> - 35 contrats de travail portés en direct  par les entreprises dont </w:t>
      </w:r>
      <w:r w:rsidRPr="00A916F0">
        <w:rPr>
          <w:b/>
          <w:sz w:val="24"/>
          <w:szCs w:val="24"/>
        </w:rPr>
        <w:t>15 CDI</w:t>
      </w:r>
      <w:r w:rsidRPr="00A916F0">
        <w:rPr>
          <w:sz w:val="24"/>
          <w:szCs w:val="24"/>
        </w:rPr>
        <w:t xml:space="preserve"> soit 42%, </w:t>
      </w:r>
      <w:r w:rsidRPr="00A916F0">
        <w:rPr>
          <w:b/>
          <w:sz w:val="24"/>
          <w:szCs w:val="24"/>
        </w:rPr>
        <w:t>11 contrats en alternance</w:t>
      </w:r>
      <w:r w:rsidRPr="00A916F0">
        <w:rPr>
          <w:sz w:val="24"/>
          <w:szCs w:val="24"/>
        </w:rPr>
        <w:t xml:space="preserve"> </w:t>
      </w:r>
      <w:r w:rsidRPr="00A916F0">
        <w:rPr>
          <w:b/>
          <w:sz w:val="24"/>
          <w:szCs w:val="24"/>
        </w:rPr>
        <w:t>et 9 CDD&lt;6mois</w:t>
      </w:r>
      <w:r w:rsidRPr="00A916F0">
        <w:rPr>
          <w:sz w:val="24"/>
          <w:szCs w:val="24"/>
        </w:rPr>
        <w:t>.</w:t>
      </w:r>
    </w:p>
    <w:p w:rsidR="00740144" w:rsidRPr="00A916F0" w:rsidRDefault="00740144" w:rsidP="00A916F0">
      <w:pPr>
        <w:spacing w:after="120" w:line="240" w:lineRule="auto"/>
        <w:jc w:val="both"/>
        <w:rPr>
          <w:sz w:val="24"/>
          <w:szCs w:val="24"/>
        </w:rPr>
      </w:pPr>
      <w:r w:rsidRPr="00A916F0">
        <w:rPr>
          <w:sz w:val="24"/>
          <w:szCs w:val="24"/>
        </w:rPr>
        <w:t xml:space="preserve">- Les contrats en alternance occupent une part importante, 33 contrats de professionnalisation et 4 contrats d’apprentissage. </w:t>
      </w:r>
      <w:r w:rsidRPr="00A916F0">
        <w:rPr>
          <w:b/>
          <w:sz w:val="24"/>
          <w:szCs w:val="24"/>
        </w:rPr>
        <w:t>Soit 40% des contrats classiques</w:t>
      </w:r>
      <w:r w:rsidRPr="00A916F0">
        <w:rPr>
          <w:sz w:val="24"/>
          <w:szCs w:val="24"/>
        </w:rPr>
        <w:t>, 26 sont mis en œuvre par le GEIQ Filières Pro.</w:t>
      </w:r>
    </w:p>
    <w:p w:rsidR="00740144" w:rsidRPr="00A916F0" w:rsidRDefault="00740144" w:rsidP="00A916F0">
      <w:pPr>
        <w:spacing w:after="120" w:line="240" w:lineRule="auto"/>
        <w:jc w:val="both"/>
        <w:rPr>
          <w:sz w:val="24"/>
          <w:szCs w:val="24"/>
        </w:rPr>
      </w:pPr>
      <w:r w:rsidRPr="00A916F0">
        <w:rPr>
          <w:sz w:val="24"/>
          <w:szCs w:val="24"/>
        </w:rPr>
        <w:t>Le travail de conseil auprès des entreprises attributaires conduit par le PLIE permet de maintenir un taux de parcours qualifiants proposés en 2012, malgré une tension du contexte économique.</w:t>
      </w:r>
    </w:p>
    <w:p w:rsidR="00740144" w:rsidRPr="00A916F0" w:rsidRDefault="00740144" w:rsidP="00A916F0">
      <w:pPr>
        <w:spacing w:after="120" w:line="240" w:lineRule="auto"/>
        <w:jc w:val="both"/>
        <w:rPr>
          <w:sz w:val="24"/>
          <w:szCs w:val="24"/>
        </w:rPr>
      </w:pPr>
      <w:r w:rsidRPr="00A916F0">
        <w:rPr>
          <w:sz w:val="24"/>
          <w:szCs w:val="24"/>
        </w:rPr>
        <w:t>Ainsi, lorsque l’engagement de l’entreprise repose sur un nombre d’heures d’insertion important</w:t>
      </w:r>
      <w:r>
        <w:rPr>
          <w:sz w:val="24"/>
          <w:szCs w:val="24"/>
        </w:rPr>
        <w:t>,</w:t>
      </w:r>
      <w:r w:rsidRPr="00A916F0">
        <w:rPr>
          <w:sz w:val="24"/>
          <w:szCs w:val="24"/>
        </w:rPr>
        <w:t xml:space="preserve"> un parc</w:t>
      </w:r>
      <w:r>
        <w:rPr>
          <w:sz w:val="24"/>
          <w:szCs w:val="24"/>
        </w:rPr>
        <w:t>ours qualifiant est négocié</w:t>
      </w:r>
      <w:r w:rsidRPr="00A916F0">
        <w:rPr>
          <w:sz w:val="24"/>
          <w:szCs w:val="24"/>
        </w:rPr>
        <w:t xml:space="preserve"> afin de répondre à leur besoin en compétences et proposer une sécurisation des parcours pour les bénéficiaires de la clause sociale. </w:t>
      </w:r>
    </w:p>
    <w:p w:rsidR="00740144" w:rsidRPr="00A916F0" w:rsidRDefault="00740144" w:rsidP="00A916F0">
      <w:pPr>
        <w:spacing w:after="120" w:line="240" w:lineRule="auto"/>
        <w:jc w:val="both"/>
        <w:rPr>
          <w:sz w:val="24"/>
          <w:szCs w:val="24"/>
        </w:rPr>
      </w:pPr>
      <w:r>
        <w:rPr>
          <w:sz w:val="24"/>
          <w:szCs w:val="24"/>
        </w:rPr>
        <w:t>L’année 2012 marque également</w:t>
      </w:r>
      <w:r w:rsidRPr="00A916F0">
        <w:rPr>
          <w:sz w:val="24"/>
          <w:szCs w:val="24"/>
        </w:rPr>
        <w:t xml:space="preserve"> un changement de positionnement des entreprises ayant compris que cette démarche se systématise sur le territoire de Bordeaux, elles proposent ainsi de mutualiser les heures insertion dues sur plusieurs opérations, pour construire des actions de formation qualifiantes.</w:t>
      </w:r>
    </w:p>
    <w:p w:rsidR="00740144" w:rsidRPr="00A916F0" w:rsidRDefault="00740144" w:rsidP="00A916F0">
      <w:pPr>
        <w:spacing w:after="120" w:line="240" w:lineRule="auto"/>
        <w:jc w:val="both"/>
        <w:rPr>
          <w:sz w:val="24"/>
          <w:szCs w:val="24"/>
        </w:rPr>
      </w:pPr>
      <w:r w:rsidRPr="00A916F0">
        <w:rPr>
          <w:sz w:val="24"/>
          <w:szCs w:val="24"/>
        </w:rPr>
        <w:t>Cette démarche sera maintenue, en 2013, notamment sur les grands projets urbains puisque une vingtaine de contrats de professionnalisation seront proposés par les groupements constructeurs.</w:t>
      </w:r>
    </w:p>
    <w:p w:rsidR="00740144" w:rsidRPr="00A916F0" w:rsidRDefault="00740144" w:rsidP="00A916F0">
      <w:pPr>
        <w:spacing w:after="120" w:line="240" w:lineRule="auto"/>
        <w:jc w:val="both"/>
        <w:rPr>
          <w:sz w:val="24"/>
          <w:szCs w:val="24"/>
        </w:rPr>
      </w:pPr>
      <w:r w:rsidRPr="00A916F0">
        <w:rPr>
          <w:sz w:val="24"/>
          <w:szCs w:val="24"/>
        </w:rPr>
        <w:t>Lorsque le volume d’heures insertion est faible, le recours par la mise à disposition de personnel via les entreprises de travail temporaire insertion est privilégié. Ce qui conforte le rôle conduit par le PLIE de promotion de</w:t>
      </w:r>
      <w:r>
        <w:rPr>
          <w:sz w:val="24"/>
          <w:szCs w:val="24"/>
        </w:rPr>
        <w:t>s structures de l’IAE, fidélisant</w:t>
      </w:r>
      <w:r w:rsidRPr="00A916F0">
        <w:rPr>
          <w:sz w:val="24"/>
          <w:szCs w:val="24"/>
        </w:rPr>
        <w:t xml:space="preserve"> les partenariats initiés avec les acteurs économiques.</w:t>
      </w:r>
    </w:p>
    <w:p w:rsidR="00740144" w:rsidRDefault="00771071" w:rsidP="00FB3DCB">
      <w:pPr>
        <w:jc w:val="center"/>
      </w:pPr>
      <w:r>
        <w:rPr>
          <w:noProof/>
          <w:lang w:eastAsia="fr-FR"/>
        </w:rPr>
        <w:drawing>
          <wp:inline distT="0" distB="0" distL="0" distR="0">
            <wp:extent cx="4470400" cy="3060700"/>
            <wp:effectExtent l="0" t="0" r="0" b="0"/>
            <wp:docPr id="25" name="Graphique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740144" w:rsidRDefault="00740144" w:rsidP="00FB3DCB">
      <w:pPr>
        <w:jc w:val="center"/>
      </w:pPr>
    </w:p>
    <w:p w:rsidR="00740144" w:rsidRDefault="00771071" w:rsidP="00B848B5">
      <w:pPr>
        <w:jc w:val="both"/>
      </w:pPr>
      <w:r>
        <w:rPr>
          <w:noProof/>
          <w:lang w:eastAsia="fr-FR"/>
        </w:rPr>
        <w:drawing>
          <wp:inline distT="0" distB="0" distL="0" distR="0">
            <wp:extent cx="5754129" cy="1231900"/>
            <wp:effectExtent l="24371" t="0" r="0" b="0"/>
            <wp:docPr id="26" name="Diagramme 23"/>
            <wp:cNvGraphicFramePr>
              <a:graphicFrameLocks xmlns:a="http://schemas.openxmlformats.org/drawingml/2006/main"/>
            </wp:cNvGraphicFramePr>
            <a:graphic xmlns:a="http://schemas.openxmlformats.org/drawingml/2006/main">
              <a:graphicData uri="http://schemas.openxmlformats.org/drawingml/2006/diagram">
                <a:relIds xmlns:dgm="http://schemas.openxmlformats.org/drawingml/2006/diagram" xmlns:r="http://schemas.openxmlformats.org/officeDocument/2006/relationships" r:dm="rId67" r:lo="rId68" r:qs="rId69" r:cs="rId70"/>
              </a:graphicData>
            </a:graphic>
          </wp:inline>
        </w:drawing>
      </w:r>
    </w:p>
    <w:p w:rsidR="00740144" w:rsidRDefault="00771071" w:rsidP="00FB3DCB">
      <w:pPr>
        <w:jc w:val="center"/>
      </w:pPr>
      <w:r>
        <w:rPr>
          <w:noProof/>
          <w:lang w:eastAsia="fr-FR"/>
        </w:rPr>
        <w:drawing>
          <wp:inline distT="0" distB="0" distL="0" distR="0">
            <wp:extent cx="4940300" cy="3568700"/>
            <wp:effectExtent l="0" t="0" r="0" b="0"/>
            <wp:docPr id="27" name="Graphique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740144" w:rsidRPr="00F22C4E" w:rsidRDefault="00740144" w:rsidP="00B848B5">
      <w:pPr>
        <w:jc w:val="both"/>
        <w:rPr>
          <w:sz w:val="24"/>
          <w:szCs w:val="24"/>
        </w:rPr>
      </w:pPr>
      <w:r w:rsidRPr="00F22C4E">
        <w:rPr>
          <w:sz w:val="24"/>
          <w:szCs w:val="24"/>
        </w:rPr>
        <w:t>La plupart des emplois proposés dans le cadre des clauses sociales sont des postes avec un faible niveau de qualification attendu.</w:t>
      </w:r>
    </w:p>
    <w:p w:rsidR="00740144" w:rsidRPr="00F22C4E" w:rsidRDefault="00740144" w:rsidP="00B848B5">
      <w:pPr>
        <w:jc w:val="both"/>
        <w:rPr>
          <w:sz w:val="24"/>
          <w:szCs w:val="24"/>
        </w:rPr>
      </w:pPr>
      <w:r>
        <w:rPr>
          <w:sz w:val="24"/>
          <w:szCs w:val="24"/>
        </w:rPr>
        <w:t xml:space="preserve">Ils </w:t>
      </w:r>
      <w:r w:rsidRPr="00F22C4E">
        <w:rPr>
          <w:sz w:val="24"/>
          <w:szCs w:val="24"/>
        </w:rPr>
        <w:t xml:space="preserve">appartiennent </w:t>
      </w:r>
      <w:r>
        <w:rPr>
          <w:sz w:val="24"/>
          <w:szCs w:val="24"/>
        </w:rPr>
        <w:t xml:space="preserve">majoritairement </w:t>
      </w:r>
      <w:r w:rsidRPr="00F22C4E">
        <w:rPr>
          <w:sz w:val="24"/>
          <w:szCs w:val="24"/>
        </w:rPr>
        <w:t>au secteur du BTP avec une très grande diversité de métiers proposés en 2012 tant sur les métiers du gros œuvre et des travaux publics que sur les métiers du second œuvre.</w:t>
      </w:r>
    </w:p>
    <w:p w:rsidR="00740144" w:rsidRPr="00F22C4E" w:rsidRDefault="00740144" w:rsidP="00B848B5">
      <w:pPr>
        <w:jc w:val="both"/>
        <w:rPr>
          <w:sz w:val="24"/>
          <w:szCs w:val="24"/>
        </w:rPr>
      </w:pPr>
      <w:r w:rsidRPr="00F22C4E">
        <w:rPr>
          <w:sz w:val="24"/>
          <w:szCs w:val="24"/>
        </w:rPr>
        <w:t>La part rés</w:t>
      </w:r>
      <w:r>
        <w:rPr>
          <w:sz w:val="24"/>
          <w:szCs w:val="24"/>
        </w:rPr>
        <w:t xml:space="preserve">ervée aux métiers des services aux entreprises </w:t>
      </w:r>
      <w:r w:rsidRPr="00F22C4E">
        <w:rPr>
          <w:sz w:val="24"/>
          <w:szCs w:val="24"/>
        </w:rPr>
        <w:t xml:space="preserve"> permet d’accueillir prioritairement un public féminin et d’équilibrer la mixité des publics bénéficiant des opportunités d’emplois dans le cadre des clauses sociales.</w:t>
      </w:r>
    </w:p>
    <w:p w:rsidR="00740144" w:rsidRPr="00F22C4E" w:rsidRDefault="00740144" w:rsidP="00B848B5">
      <w:pPr>
        <w:jc w:val="both"/>
        <w:rPr>
          <w:sz w:val="24"/>
          <w:szCs w:val="24"/>
        </w:rPr>
      </w:pPr>
      <w:r w:rsidRPr="00F22C4E">
        <w:rPr>
          <w:sz w:val="24"/>
          <w:szCs w:val="24"/>
        </w:rPr>
        <w:t>A noter : la très faible part des métiers nécessitant une qualification de niveau I (études, ingénierie).</w:t>
      </w:r>
    </w:p>
    <w:p w:rsidR="00740144" w:rsidRPr="00F22C4E" w:rsidRDefault="00740144" w:rsidP="00B848B5">
      <w:pPr>
        <w:jc w:val="both"/>
        <w:rPr>
          <w:sz w:val="24"/>
          <w:szCs w:val="24"/>
        </w:rPr>
      </w:pPr>
      <w:r w:rsidRPr="00F22C4E">
        <w:rPr>
          <w:sz w:val="24"/>
          <w:szCs w:val="24"/>
        </w:rPr>
        <w:t>Une diversification des marchés intégrant une clause sociale est attendue en 2013, notamment dans le domaine des prestations intellectuelles, pour toucher notamment un public qualifié (jeunes sans expérience professionnelle ou sénior</w:t>
      </w:r>
      <w:r>
        <w:rPr>
          <w:sz w:val="24"/>
          <w:szCs w:val="24"/>
        </w:rPr>
        <w:t>s</w:t>
      </w:r>
      <w:r w:rsidRPr="00F22C4E">
        <w:rPr>
          <w:sz w:val="24"/>
          <w:szCs w:val="24"/>
        </w:rPr>
        <w:t>).</w:t>
      </w:r>
    </w:p>
    <w:p w:rsidR="00740144" w:rsidRDefault="00740144" w:rsidP="00B848B5">
      <w:pPr>
        <w:jc w:val="both"/>
      </w:pPr>
    </w:p>
    <w:p w:rsidR="00740144" w:rsidRDefault="00740144" w:rsidP="00B848B5">
      <w:pPr>
        <w:jc w:val="both"/>
      </w:pPr>
    </w:p>
    <w:p w:rsidR="00740144" w:rsidRDefault="00740144" w:rsidP="00B848B5">
      <w:pPr>
        <w:jc w:val="both"/>
      </w:pPr>
    </w:p>
    <w:p w:rsidR="00740144" w:rsidRDefault="00740144" w:rsidP="00B848B5">
      <w:pPr>
        <w:jc w:val="both"/>
      </w:pPr>
    </w:p>
    <w:p w:rsidR="00740144" w:rsidRDefault="00740144" w:rsidP="00B848B5">
      <w:pPr>
        <w:jc w:val="both"/>
      </w:pPr>
    </w:p>
    <w:p w:rsidR="00740144" w:rsidRDefault="00740144" w:rsidP="00B848B5">
      <w:pPr>
        <w:jc w:val="both"/>
      </w:pPr>
    </w:p>
    <w:p w:rsidR="00740144" w:rsidRDefault="00740144" w:rsidP="00B848B5">
      <w:pPr>
        <w:jc w:val="both"/>
      </w:pPr>
    </w:p>
    <w:p w:rsidR="00740144" w:rsidRDefault="00740144" w:rsidP="00B848B5">
      <w:pPr>
        <w:jc w:val="both"/>
      </w:pPr>
    </w:p>
    <w:p w:rsidR="00740144" w:rsidRDefault="00740144" w:rsidP="002E15A2">
      <w:pPr>
        <w:jc w:val="center"/>
      </w:pPr>
    </w:p>
    <w:p w:rsidR="00740144" w:rsidRDefault="00740144" w:rsidP="00B848B5">
      <w:pPr>
        <w:jc w:val="both"/>
      </w:pPr>
    </w:p>
    <w:p w:rsidR="00740144" w:rsidRDefault="00740144" w:rsidP="00B848B5">
      <w:pPr>
        <w:jc w:val="both"/>
      </w:pPr>
    </w:p>
    <w:p w:rsidR="00740144" w:rsidRDefault="00740144">
      <w:r>
        <w:br w:type="page"/>
      </w:r>
    </w:p>
    <w:p w:rsidR="00740144" w:rsidRDefault="00771071" w:rsidP="001C40DF">
      <w:pPr>
        <w:rPr>
          <w:b/>
        </w:rPr>
      </w:pPr>
      <w:r w:rsidRPr="007C4A7C">
        <w:rPr>
          <w:b/>
        </w:rPr>
        <w:pict>
          <v:shape id="_x0000_i1052" type="#_x0000_t136" style="width:26pt;height:32pt" fillcolor="#5f497a" strokecolor="white">
            <v:shadow on="t" color="white" offset="4pt,3pt" offset2="4pt,2pt"/>
            <o:extrusion v:ext="view" specularity="80000f" backdepth="15pt" color="white" rotationangle=",15" viewpoint="0,0" viewpointorigin="0,0" skewangle="0" skewamt="0" lightposition="-50000,-50000" lightposition2="50000" type="perspective"/>
            <v:textpath style="font-family:&quot;Franklin Gothic Heavy&quot;;font-size:28pt;font-weight:bold;v-text-kern:t" trim="t" fitpath="t" string="3"/>
          </v:shape>
        </w:pict>
      </w:r>
      <w:r>
        <w:rPr>
          <w:noProof/>
          <w:lang w:eastAsia="fr-FR"/>
        </w:rPr>
        <w:drawing>
          <wp:inline distT="0" distB="0" distL="0" distR="0">
            <wp:extent cx="6070600" cy="822198"/>
            <wp:effectExtent l="0" t="12192" r="0" b="3810"/>
            <wp:docPr id="29" name="Diagramme 11"/>
            <wp:cNvGraphicFramePr>
              <a:graphicFrameLocks xmlns:a="http://schemas.openxmlformats.org/drawingml/2006/main"/>
            </wp:cNvGraphicFramePr>
            <a:graphic xmlns:a="http://schemas.openxmlformats.org/drawingml/2006/main">
              <a:graphicData uri="http://schemas.openxmlformats.org/drawingml/2006/diagram">
                <a:relIds xmlns:dgm="http://schemas.openxmlformats.org/drawingml/2006/diagram" xmlns:r="http://schemas.openxmlformats.org/officeDocument/2006/relationships" r:dm="rId73" r:lo="rId74" r:qs="rId75" r:cs="rId76"/>
              </a:graphicData>
            </a:graphic>
          </wp:inline>
        </w:drawing>
      </w:r>
    </w:p>
    <w:p w:rsidR="00740144" w:rsidRDefault="00740144" w:rsidP="001C40DF">
      <w:pPr>
        <w:rPr>
          <w:b/>
        </w:rPr>
      </w:pPr>
    </w:p>
    <w:p w:rsidR="00740144" w:rsidRPr="00357B3B" w:rsidRDefault="00771071">
      <w:r>
        <w:rPr>
          <w:noProof/>
          <w:lang w:eastAsia="fr-FR"/>
        </w:rPr>
        <w:drawing>
          <wp:inline distT="0" distB="0" distL="0" distR="0">
            <wp:extent cx="5754129" cy="1080043"/>
            <wp:effectExtent l="24371" t="12157" r="0" b="0"/>
            <wp:docPr id="30" name="Diagramme 379"/>
            <wp:cNvGraphicFramePr>
              <a:graphicFrameLocks xmlns:a="http://schemas.openxmlformats.org/drawingml/2006/main"/>
            </wp:cNvGraphicFramePr>
            <a:graphic xmlns:a="http://schemas.openxmlformats.org/drawingml/2006/main">
              <a:graphicData uri="http://schemas.openxmlformats.org/drawingml/2006/diagram">
                <a:relIds xmlns:dgm="http://schemas.openxmlformats.org/drawingml/2006/diagram" xmlns:r="http://schemas.openxmlformats.org/officeDocument/2006/relationships" r:dm="rId78" r:lo="rId79" r:qs="rId80" r:cs="rId81"/>
              </a:graphicData>
            </a:graphic>
          </wp:inline>
        </w:drawing>
      </w:r>
    </w:p>
    <w:p w:rsidR="00740144" w:rsidRPr="00636E7D" w:rsidRDefault="00740144" w:rsidP="00BC48B3">
      <w:pPr>
        <w:jc w:val="both"/>
        <w:rPr>
          <w:sz w:val="24"/>
          <w:szCs w:val="24"/>
        </w:rPr>
      </w:pPr>
      <w:r w:rsidRPr="00636E7D">
        <w:rPr>
          <w:sz w:val="24"/>
          <w:szCs w:val="24"/>
        </w:rPr>
        <w:t>Au cours de l’année 2012</w:t>
      </w:r>
      <w:r w:rsidRPr="00636E7D">
        <w:rPr>
          <w:b/>
          <w:sz w:val="24"/>
          <w:szCs w:val="24"/>
        </w:rPr>
        <w:t xml:space="preserve">, 383 personnes </w:t>
      </w:r>
      <w:r w:rsidRPr="00636E7D">
        <w:rPr>
          <w:sz w:val="24"/>
          <w:szCs w:val="24"/>
        </w:rPr>
        <w:t>ont bénéficié d’un contrat de travail de travail dans le cadre de la mise en œuvre des clauses sociales.</w:t>
      </w:r>
    </w:p>
    <w:p w:rsidR="00740144" w:rsidRPr="00636E7D" w:rsidRDefault="00740144" w:rsidP="00BC48B3">
      <w:pPr>
        <w:jc w:val="both"/>
        <w:rPr>
          <w:sz w:val="24"/>
          <w:szCs w:val="24"/>
        </w:rPr>
      </w:pPr>
      <w:r w:rsidRPr="00636E7D">
        <w:rPr>
          <w:b/>
          <w:sz w:val="24"/>
          <w:szCs w:val="24"/>
        </w:rPr>
        <w:t>Rappel </w:t>
      </w:r>
      <w:r w:rsidRPr="00636E7D">
        <w:rPr>
          <w:sz w:val="24"/>
          <w:szCs w:val="24"/>
        </w:rPr>
        <w:t>: 201 personnes en 2011 et 96 personnes en 2010</w:t>
      </w:r>
    </w:p>
    <w:p w:rsidR="00740144" w:rsidRPr="00636E7D" w:rsidRDefault="00740144" w:rsidP="00BC48B3">
      <w:pPr>
        <w:jc w:val="both"/>
        <w:rPr>
          <w:b/>
          <w:sz w:val="24"/>
          <w:szCs w:val="24"/>
        </w:rPr>
      </w:pPr>
      <w:r w:rsidRPr="00636E7D">
        <w:rPr>
          <w:b/>
          <w:sz w:val="24"/>
          <w:szCs w:val="24"/>
        </w:rPr>
        <w:t>- 45,5 %</w:t>
      </w:r>
      <w:r>
        <w:rPr>
          <w:b/>
          <w:sz w:val="24"/>
          <w:szCs w:val="24"/>
        </w:rPr>
        <w:t xml:space="preserve"> du </w:t>
      </w:r>
      <w:r w:rsidRPr="00636E7D">
        <w:rPr>
          <w:b/>
          <w:sz w:val="24"/>
          <w:szCs w:val="24"/>
        </w:rPr>
        <w:t xml:space="preserve">public réside </w:t>
      </w:r>
      <w:r>
        <w:rPr>
          <w:b/>
          <w:sz w:val="24"/>
          <w:szCs w:val="24"/>
        </w:rPr>
        <w:t>en quartier prioritaire politique de la Ville (CUCS/ZUS)</w:t>
      </w:r>
    </w:p>
    <w:p w:rsidR="00740144" w:rsidRPr="00636E7D" w:rsidRDefault="00740144" w:rsidP="00BC48B3">
      <w:pPr>
        <w:jc w:val="both"/>
        <w:rPr>
          <w:b/>
          <w:sz w:val="24"/>
          <w:szCs w:val="24"/>
        </w:rPr>
      </w:pPr>
      <w:r w:rsidRPr="00636E7D">
        <w:rPr>
          <w:b/>
          <w:sz w:val="24"/>
          <w:szCs w:val="24"/>
        </w:rPr>
        <w:t xml:space="preserve">- 72% sont Bordelais. </w:t>
      </w:r>
    </w:p>
    <w:p w:rsidR="00740144" w:rsidRDefault="00740144" w:rsidP="00BC48B3">
      <w:pPr>
        <w:jc w:val="both"/>
        <w:rPr>
          <w:sz w:val="24"/>
          <w:szCs w:val="24"/>
        </w:rPr>
      </w:pPr>
      <w:r w:rsidRPr="00636E7D">
        <w:rPr>
          <w:sz w:val="24"/>
          <w:szCs w:val="24"/>
        </w:rPr>
        <w:t>A noter que sur les marchés de la Ville de Bordeaux </w:t>
      </w:r>
      <w:r w:rsidRPr="00357B3B">
        <w:rPr>
          <w:b/>
          <w:sz w:val="24"/>
          <w:szCs w:val="24"/>
        </w:rPr>
        <w:t>: 83,6%</w:t>
      </w:r>
      <w:r w:rsidRPr="00636E7D">
        <w:rPr>
          <w:sz w:val="24"/>
          <w:szCs w:val="24"/>
        </w:rPr>
        <w:t xml:space="preserve"> des bénéficiaires de la clause insertion sont bordelais.</w:t>
      </w:r>
    </w:p>
    <w:p w:rsidR="00740144" w:rsidRPr="00D53787" w:rsidRDefault="00740144" w:rsidP="001A4548">
      <w:pPr>
        <w:rPr>
          <w:sz w:val="24"/>
          <w:szCs w:val="24"/>
        </w:rPr>
      </w:pPr>
    </w:p>
    <w:p w:rsidR="00740144" w:rsidRPr="00D53787" w:rsidRDefault="00740144" w:rsidP="00515F5C">
      <w:pPr>
        <w:pStyle w:val="Paragraphedeliste"/>
        <w:numPr>
          <w:ilvl w:val="0"/>
          <w:numId w:val="1"/>
        </w:numPr>
        <w:tabs>
          <w:tab w:val="clear" w:pos="360"/>
          <w:tab w:val="num" w:pos="426"/>
        </w:tabs>
        <w:ind w:left="709" w:hanging="709"/>
        <w:rPr>
          <w:color w:val="5F497A"/>
          <w:sz w:val="36"/>
        </w:rPr>
      </w:pPr>
      <w:r>
        <w:rPr>
          <w:rFonts w:ascii="Calibri" w:hAnsi="Calibri" w:cs="+mn-cs"/>
          <w:color w:val="5F497A"/>
          <w:sz w:val="36"/>
          <w:szCs w:val="36"/>
        </w:rPr>
        <w:t>La répartition hommes/femmes</w:t>
      </w:r>
    </w:p>
    <w:p w:rsidR="00740144" w:rsidRDefault="00740144" w:rsidP="001A4548">
      <w:pPr>
        <w:suppressAutoHyphens/>
        <w:spacing w:after="0" w:line="240" w:lineRule="auto"/>
        <w:rPr>
          <w:rFonts w:ascii="Franklin Gothic Book" w:hAnsi="Franklin Gothic Book"/>
          <w:b/>
          <w:color w:val="CC003F"/>
          <w:sz w:val="16"/>
          <w:szCs w:val="16"/>
          <w:lang w:eastAsia="ar-SA"/>
        </w:rPr>
      </w:pPr>
    </w:p>
    <w:p w:rsidR="00740144" w:rsidRPr="001A4548" w:rsidRDefault="00740144" w:rsidP="001A4548">
      <w:pPr>
        <w:suppressAutoHyphens/>
        <w:spacing w:after="0" w:line="240" w:lineRule="auto"/>
        <w:rPr>
          <w:rFonts w:ascii="Franklin Gothic Book" w:hAnsi="Franklin Gothic Book"/>
          <w:b/>
          <w:color w:val="CC003F"/>
          <w:sz w:val="16"/>
          <w:szCs w:val="16"/>
          <w:lang w:eastAsia="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923"/>
        <w:gridCol w:w="1985"/>
        <w:gridCol w:w="850"/>
      </w:tblGrid>
      <w:tr w:rsidR="00740144" w:rsidRPr="000857F0">
        <w:trPr>
          <w:trHeight w:val="404"/>
        </w:trPr>
        <w:tc>
          <w:tcPr>
            <w:tcW w:w="1701" w:type="dxa"/>
          </w:tcPr>
          <w:p w:rsidR="00740144" w:rsidRPr="001A4548" w:rsidRDefault="00740144" w:rsidP="001A4548">
            <w:pPr>
              <w:suppressAutoHyphens/>
              <w:spacing w:before="40" w:after="40" w:line="240" w:lineRule="auto"/>
              <w:rPr>
                <w:rFonts w:ascii="Franklin Gothic Book" w:hAnsi="Franklin Gothic Book"/>
                <w:b/>
                <w:lang w:eastAsia="ar-SA"/>
              </w:rPr>
            </w:pPr>
            <w:r w:rsidRPr="001A4548">
              <w:rPr>
                <w:rFonts w:ascii="Franklin Gothic Book" w:hAnsi="Franklin Gothic Book"/>
                <w:b/>
                <w:lang w:eastAsia="ar-SA"/>
              </w:rPr>
              <w:t>Hommes</w:t>
            </w:r>
          </w:p>
        </w:tc>
        <w:tc>
          <w:tcPr>
            <w:tcW w:w="923" w:type="dxa"/>
          </w:tcPr>
          <w:p w:rsidR="00740144" w:rsidRPr="001A4548" w:rsidRDefault="00740144" w:rsidP="001A4548">
            <w:pPr>
              <w:suppressAutoHyphens/>
              <w:spacing w:before="40" w:after="40" w:line="240" w:lineRule="auto"/>
              <w:rPr>
                <w:rFonts w:ascii="Franklin Gothic Book" w:hAnsi="Franklin Gothic Book"/>
                <w:lang w:eastAsia="ar-SA"/>
              </w:rPr>
            </w:pPr>
            <w:r>
              <w:rPr>
                <w:rFonts w:ascii="Franklin Gothic Book" w:hAnsi="Franklin Gothic Book"/>
                <w:lang w:eastAsia="ar-SA"/>
              </w:rPr>
              <w:t>211</w:t>
            </w:r>
          </w:p>
        </w:tc>
        <w:tc>
          <w:tcPr>
            <w:tcW w:w="1985" w:type="dxa"/>
          </w:tcPr>
          <w:p w:rsidR="00740144" w:rsidRPr="001A4548" w:rsidRDefault="00740144" w:rsidP="001A4548">
            <w:pPr>
              <w:suppressAutoHyphens/>
              <w:spacing w:before="40" w:after="40" w:line="240" w:lineRule="auto"/>
              <w:rPr>
                <w:rFonts w:ascii="Franklin Gothic Book" w:hAnsi="Franklin Gothic Book"/>
                <w:b/>
                <w:lang w:eastAsia="ar-SA"/>
              </w:rPr>
            </w:pPr>
            <w:r w:rsidRPr="001A4548">
              <w:rPr>
                <w:rFonts w:ascii="Franklin Gothic Book" w:hAnsi="Franklin Gothic Book"/>
                <w:b/>
                <w:lang w:eastAsia="ar-SA"/>
              </w:rPr>
              <w:t>Femmes</w:t>
            </w:r>
          </w:p>
        </w:tc>
        <w:tc>
          <w:tcPr>
            <w:tcW w:w="850" w:type="dxa"/>
          </w:tcPr>
          <w:p w:rsidR="00740144" w:rsidRPr="001A4548" w:rsidRDefault="00740144" w:rsidP="001A4548">
            <w:pPr>
              <w:suppressAutoHyphens/>
              <w:spacing w:before="40" w:after="40" w:line="240" w:lineRule="auto"/>
              <w:rPr>
                <w:rFonts w:ascii="Franklin Gothic Book" w:hAnsi="Franklin Gothic Book"/>
                <w:lang w:eastAsia="ar-SA"/>
              </w:rPr>
            </w:pPr>
            <w:r>
              <w:rPr>
                <w:rFonts w:ascii="Franklin Gothic Book" w:hAnsi="Franklin Gothic Book"/>
                <w:lang w:eastAsia="ar-SA"/>
              </w:rPr>
              <w:t>171</w:t>
            </w:r>
          </w:p>
        </w:tc>
      </w:tr>
    </w:tbl>
    <w:p w:rsidR="00740144" w:rsidRDefault="00740144" w:rsidP="001A4548">
      <w:pPr>
        <w:suppressAutoHyphens/>
        <w:spacing w:after="0" w:line="240" w:lineRule="auto"/>
        <w:rPr>
          <w:rFonts w:ascii="Franklin Gothic Book" w:hAnsi="Franklin Gothic Book"/>
          <w:b/>
          <w:color w:val="CC003F"/>
          <w:sz w:val="16"/>
          <w:szCs w:val="16"/>
          <w:lang w:eastAsia="ar-SA"/>
        </w:rPr>
      </w:pPr>
    </w:p>
    <w:p w:rsidR="00740144" w:rsidRPr="001A4548" w:rsidRDefault="00740144" w:rsidP="001A4548">
      <w:pPr>
        <w:suppressAutoHyphens/>
        <w:spacing w:after="0" w:line="240" w:lineRule="auto"/>
        <w:rPr>
          <w:rFonts w:ascii="Franklin Gothic Book" w:hAnsi="Franklin Gothic Book"/>
          <w:b/>
          <w:color w:val="CC003F"/>
          <w:sz w:val="16"/>
          <w:szCs w:val="16"/>
          <w:lang w:eastAsia="ar-SA"/>
        </w:rPr>
      </w:pPr>
    </w:p>
    <w:p w:rsidR="00740144" w:rsidRDefault="00740144" w:rsidP="00BC48B3">
      <w:pPr>
        <w:jc w:val="both"/>
        <w:rPr>
          <w:sz w:val="24"/>
          <w:szCs w:val="24"/>
        </w:rPr>
      </w:pPr>
      <w:r>
        <w:rPr>
          <w:sz w:val="24"/>
          <w:szCs w:val="24"/>
        </w:rPr>
        <w:t xml:space="preserve">La part du public féminin est en constante progression, elle a augmenté de </w:t>
      </w:r>
      <w:r w:rsidRPr="00357B3B">
        <w:rPr>
          <w:b/>
          <w:sz w:val="24"/>
          <w:szCs w:val="24"/>
        </w:rPr>
        <w:t>119%</w:t>
      </w:r>
      <w:r>
        <w:rPr>
          <w:sz w:val="24"/>
          <w:szCs w:val="24"/>
        </w:rPr>
        <w:t xml:space="preserve"> par rapport à l’exercice 2011.</w:t>
      </w:r>
    </w:p>
    <w:p w:rsidR="00740144" w:rsidRDefault="00740144" w:rsidP="00BC48B3">
      <w:pPr>
        <w:jc w:val="both"/>
        <w:rPr>
          <w:sz w:val="24"/>
          <w:szCs w:val="24"/>
        </w:rPr>
      </w:pPr>
      <w:r>
        <w:rPr>
          <w:sz w:val="24"/>
          <w:szCs w:val="24"/>
        </w:rPr>
        <w:t>Les mises en situation de travail réalisées par les associations intermédiaires BIC et ARE 33 au sein des Ecoles de la Ville de Bordeaux bénéficient en grande majorité à un public féminin sur les activités réalisées : entretiens et nettoyage des locaux, restauration.</w:t>
      </w:r>
    </w:p>
    <w:p w:rsidR="00740144" w:rsidRDefault="00740144" w:rsidP="00BC48B3">
      <w:pPr>
        <w:jc w:val="both"/>
        <w:rPr>
          <w:sz w:val="24"/>
          <w:szCs w:val="24"/>
        </w:rPr>
      </w:pPr>
      <w:r>
        <w:rPr>
          <w:sz w:val="24"/>
          <w:szCs w:val="24"/>
        </w:rPr>
        <w:t>Ce type de marché d’insertion et de qualification professionnelle démontre son intérêt comme source de diversification.</w:t>
      </w:r>
    </w:p>
    <w:p w:rsidR="00740144" w:rsidRDefault="00740144">
      <w:pPr>
        <w:rPr>
          <w:sz w:val="24"/>
          <w:szCs w:val="24"/>
        </w:rPr>
      </w:pPr>
      <w:r>
        <w:rPr>
          <w:sz w:val="24"/>
          <w:szCs w:val="24"/>
        </w:rPr>
        <w:br w:type="page"/>
      </w:r>
    </w:p>
    <w:p w:rsidR="00740144" w:rsidRPr="003A52E3" w:rsidRDefault="00740144" w:rsidP="009507F2">
      <w:pPr>
        <w:pStyle w:val="Paragraphedeliste"/>
        <w:numPr>
          <w:ilvl w:val="0"/>
          <w:numId w:val="1"/>
        </w:numPr>
        <w:tabs>
          <w:tab w:val="clear" w:pos="360"/>
          <w:tab w:val="num" w:pos="567"/>
        </w:tabs>
        <w:ind w:left="709" w:hanging="567"/>
        <w:rPr>
          <w:color w:val="5F497A"/>
          <w:sz w:val="36"/>
        </w:rPr>
      </w:pPr>
      <w:r>
        <w:rPr>
          <w:rFonts w:ascii="Calibri" w:hAnsi="Calibri" w:cs="+mn-cs"/>
          <w:color w:val="5F497A"/>
          <w:sz w:val="36"/>
          <w:szCs w:val="36"/>
        </w:rPr>
        <w:t>Statut des bénéficiaires à l’entrée dans le dispositif clause</w:t>
      </w:r>
    </w:p>
    <w:p w:rsidR="00740144" w:rsidRPr="00BC48B3" w:rsidRDefault="00740144" w:rsidP="003A52E3">
      <w:pPr>
        <w:pStyle w:val="Paragraphedeliste"/>
        <w:ind w:left="709"/>
        <w:rPr>
          <w:color w:val="5F497A"/>
          <w:sz w:val="16"/>
          <w:szCs w:val="16"/>
        </w:rPr>
      </w:pPr>
    </w:p>
    <w:p w:rsidR="00740144" w:rsidRPr="00BC48B3" w:rsidRDefault="00771071">
      <w:pPr>
        <w:rPr>
          <w:sz w:val="24"/>
          <w:szCs w:val="24"/>
        </w:rPr>
      </w:pPr>
      <w:r>
        <w:rPr>
          <w:noProof/>
          <w:lang w:eastAsia="fr-FR"/>
        </w:rPr>
        <w:drawing>
          <wp:inline distT="0" distB="0" distL="0" distR="0">
            <wp:extent cx="5702300" cy="5702300"/>
            <wp:effectExtent l="0" t="0" r="0" b="0"/>
            <wp:docPr id="31" name="Graphique 38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tbl>
      <w:tblPr>
        <w:tblW w:w="8095" w:type="dxa"/>
        <w:tblInd w:w="55" w:type="dxa"/>
        <w:tblCellMar>
          <w:left w:w="70" w:type="dxa"/>
          <w:right w:w="70" w:type="dxa"/>
        </w:tblCellMar>
        <w:tblLook w:val="00A0"/>
      </w:tblPr>
      <w:tblGrid>
        <w:gridCol w:w="5118"/>
        <w:gridCol w:w="2977"/>
      </w:tblGrid>
      <w:tr w:rsidR="00740144" w:rsidRPr="000857F0">
        <w:trPr>
          <w:trHeight w:val="255"/>
        </w:trPr>
        <w:tc>
          <w:tcPr>
            <w:tcW w:w="5118" w:type="dxa"/>
            <w:tcBorders>
              <w:top w:val="single" w:sz="8" w:space="0" w:color="000000"/>
              <w:left w:val="single" w:sz="8" w:space="0" w:color="000000"/>
              <w:bottom w:val="single" w:sz="4" w:space="0" w:color="000000"/>
              <w:right w:val="single" w:sz="4" w:space="0" w:color="000000"/>
            </w:tcBorders>
          </w:tcPr>
          <w:p w:rsidR="00740144" w:rsidRPr="00BC48B3" w:rsidRDefault="00740144" w:rsidP="00BC48B3">
            <w:pPr>
              <w:spacing w:after="0" w:line="240" w:lineRule="auto"/>
              <w:jc w:val="center"/>
              <w:rPr>
                <w:rFonts w:ascii="Arial" w:hAnsi="Arial" w:cs="Arial"/>
                <w:b/>
                <w:bCs/>
                <w:color w:val="000000"/>
                <w:sz w:val="20"/>
                <w:szCs w:val="20"/>
                <w:lang w:eastAsia="fr-FR"/>
              </w:rPr>
            </w:pPr>
            <w:r>
              <w:rPr>
                <w:rFonts w:ascii="Arial" w:hAnsi="Arial" w:cs="Arial"/>
                <w:b/>
                <w:bCs/>
                <w:color w:val="000000"/>
                <w:sz w:val="20"/>
                <w:szCs w:val="20"/>
                <w:lang w:eastAsia="fr-FR"/>
              </w:rPr>
              <w:t>Situation des bénéficiaires avant mise à l’emploi</w:t>
            </w:r>
          </w:p>
        </w:tc>
        <w:tc>
          <w:tcPr>
            <w:tcW w:w="2977" w:type="dxa"/>
            <w:tcBorders>
              <w:top w:val="single" w:sz="8" w:space="0" w:color="000000"/>
              <w:left w:val="nil"/>
              <w:bottom w:val="single" w:sz="4" w:space="0" w:color="000000"/>
              <w:right w:val="single" w:sz="8" w:space="0" w:color="000000"/>
            </w:tcBorders>
          </w:tcPr>
          <w:p w:rsidR="00740144" w:rsidRPr="00BC48B3" w:rsidRDefault="00740144" w:rsidP="00BC48B3">
            <w:pPr>
              <w:spacing w:after="0" w:line="240" w:lineRule="auto"/>
              <w:jc w:val="center"/>
              <w:rPr>
                <w:rFonts w:ascii="Arial" w:hAnsi="Arial" w:cs="Arial"/>
                <w:b/>
                <w:bCs/>
                <w:color w:val="000000"/>
                <w:sz w:val="20"/>
                <w:szCs w:val="20"/>
                <w:lang w:eastAsia="fr-FR"/>
              </w:rPr>
            </w:pPr>
            <w:r w:rsidRPr="00BC48B3">
              <w:rPr>
                <w:rFonts w:ascii="Arial" w:hAnsi="Arial" w:cs="Arial"/>
                <w:b/>
                <w:bCs/>
                <w:color w:val="000000"/>
                <w:sz w:val="20"/>
                <w:szCs w:val="20"/>
                <w:lang w:eastAsia="fr-FR"/>
              </w:rPr>
              <w:t>Nb participants</w:t>
            </w:r>
          </w:p>
        </w:tc>
      </w:tr>
      <w:tr w:rsidR="00740144" w:rsidRPr="000857F0">
        <w:trPr>
          <w:trHeight w:val="255"/>
        </w:trPr>
        <w:tc>
          <w:tcPr>
            <w:tcW w:w="5118" w:type="dxa"/>
            <w:tcBorders>
              <w:top w:val="nil"/>
              <w:left w:val="single" w:sz="8" w:space="0" w:color="000000"/>
              <w:bottom w:val="single" w:sz="4" w:space="0" w:color="000000"/>
              <w:right w:val="single" w:sz="4" w:space="0" w:color="000000"/>
            </w:tcBorders>
          </w:tcPr>
          <w:p w:rsidR="00740144" w:rsidRPr="00BC48B3" w:rsidRDefault="00740144" w:rsidP="00BC48B3">
            <w:pPr>
              <w:spacing w:after="0" w:line="240" w:lineRule="auto"/>
              <w:rPr>
                <w:rFonts w:ascii="Arial" w:hAnsi="Arial" w:cs="Arial"/>
                <w:color w:val="000000"/>
                <w:sz w:val="20"/>
                <w:szCs w:val="20"/>
                <w:lang w:eastAsia="fr-FR"/>
              </w:rPr>
            </w:pPr>
            <w:r w:rsidRPr="00BC48B3">
              <w:rPr>
                <w:rFonts w:ascii="Arial" w:hAnsi="Arial" w:cs="Arial"/>
                <w:color w:val="000000"/>
                <w:sz w:val="20"/>
                <w:szCs w:val="20"/>
                <w:lang w:eastAsia="fr-FR"/>
              </w:rPr>
              <w:t>DELD</w:t>
            </w:r>
          </w:p>
        </w:tc>
        <w:tc>
          <w:tcPr>
            <w:tcW w:w="2977" w:type="dxa"/>
            <w:tcBorders>
              <w:top w:val="nil"/>
              <w:left w:val="nil"/>
              <w:bottom w:val="single" w:sz="4" w:space="0" w:color="000000"/>
              <w:right w:val="single" w:sz="8" w:space="0" w:color="000000"/>
            </w:tcBorders>
          </w:tcPr>
          <w:p w:rsidR="00740144" w:rsidRPr="00BC48B3" w:rsidRDefault="00740144" w:rsidP="00BC48B3">
            <w:pPr>
              <w:spacing w:after="0" w:line="240" w:lineRule="auto"/>
              <w:jc w:val="right"/>
              <w:rPr>
                <w:rFonts w:ascii="Arial" w:hAnsi="Arial" w:cs="Arial"/>
                <w:color w:val="000000"/>
                <w:sz w:val="20"/>
                <w:szCs w:val="20"/>
                <w:lang w:eastAsia="fr-FR"/>
              </w:rPr>
            </w:pPr>
            <w:r w:rsidRPr="00BC48B3">
              <w:rPr>
                <w:rFonts w:ascii="Arial" w:hAnsi="Arial" w:cs="Arial"/>
                <w:color w:val="000000"/>
                <w:sz w:val="20"/>
                <w:szCs w:val="20"/>
                <w:lang w:eastAsia="fr-FR"/>
              </w:rPr>
              <w:t>66</w:t>
            </w:r>
          </w:p>
        </w:tc>
      </w:tr>
      <w:tr w:rsidR="00740144" w:rsidRPr="000857F0">
        <w:trPr>
          <w:trHeight w:val="255"/>
        </w:trPr>
        <w:tc>
          <w:tcPr>
            <w:tcW w:w="5118" w:type="dxa"/>
            <w:tcBorders>
              <w:top w:val="nil"/>
              <w:left w:val="single" w:sz="8" w:space="0" w:color="000000"/>
              <w:bottom w:val="single" w:sz="4" w:space="0" w:color="000000"/>
              <w:right w:val="single" w:sz="4" w:space="0" w:color="000000"/>
            </w:tcBorders>
          </w:tcPr>
          <w:p w:rsidR="00740144" w:rsidRPr="00BC48B3" w:rsidRDefault="00740144" w:rsidP="00BC48B3">
            <w:pPr>
              <w:spacing w:after="0" w:line="240" w:lineRule="auto"/>
              <w:rPr>
                <w:rFonts w:ascii="Arial" w:hAnsi="Arial" w:cs="Arial"/>
                <w:color w:val="000000"/>
                <w:sz w:val="20"/>
                <w:szCs w:val="20"/>
                <w:lang w:eastAsia="fr-FR"/>
              </w:rPr>
            </w:pPr>
            <w:r w:rsidRPr="00BC48B3">
              <w:rPr>
                <w:rFonts w:ascii="Arial" w:hAnsi="Arial" w:cs="Arial"/>
                <w:color w:val="000000"/>
                <w:sz w:val="20"/>
                <w:szCs w:val="20"/>
                <w:lang w:eastAsia="fr-FR"/>
              </w:rPr>
              <w:t>TH</w:t>
            </w:r>
          </w:p>
        </w:tc>
        <w:tc>
          <w:tcPr>
            <w:tcW w:w="2977" w:type="dxa"/>
            <w:tcBorders>
              <w:top w:val="nil"/>
              <w:left w:val="nil"/>
              <w:bottom w:val="single" w:sz="4" w:space="0" w:color="000000"/>
              <w:right w:val="single" w:sz="8" w:space="0" w:color="000000"/>
            </w:tcBorders>
          </w:tcPr>
          <w:p w:rsidR="00740144" w:rsidRPr="00BC48B3" w:rsidRDefault="00740144" w:rsidP="00BC48B3">
            <w:pPr>
              <w:spacing w:after="0" w:line="240" w:lineRule="auto"/>
              <w:jc w:val="right"/>
              <w:rPr>
                <w:rFonts w:ascii="Arial" w:hAnsi="Arial" w:cs="Arial"/>
                <w:color w:val="000000"/>
                <w:sz w:val="20"/>
                <w:szCs w:val="20"/>
                <w:lang w:eastAsia="fr-FR"/>
              </w:rPr>
            </w:pPr>
            <w:r w:rsidRPr="00BC48B3">
              <w:rPr>
                <w:rFonts w:ascii="Arial" w:hAnsi="Arial" w:cs="Arial"/>
                <w:color w:val="000000"/>
                <w:sz w:val="20"/>
                <w:szCs w:val="20"/>
                <w:lang w:eastAsia="fr-FR"/>
              </w:rPr>
              <w:t>10</w:t>
            </w:r>
          </w:p>
        </w:tc>
      </w:tr>
      <w:tr w:rsidR="00740144" w:rsidRPr="000857F0">
        <w:trPr>
          <w:trHeight w:val="255"/>
        </w:trPr>
        <w:tc>
          <w:tcPr>
            <w:tcW w:w="5118" w:type="dxa"/>
            <w:tcBorders>
              <w:top w:val="nil"/>
              <w:left w:val="single" w:sz="8" w:space="0" w:color="000000"/>
              <w:bottom w:val="single" w:sz="4" w:space="0" w:color="000000"/>
              <w:right w:val="single" w:sz="4" w:space="0" w:color="000000"/>
            </w:tcBorders>
          </w:tcPr>
          <w:p w:rsidR="00740144" w:rsidRPr="00BC48B3" w:rsidRDefault="00740144" w:rsidP="00BC48B3">
            <w:pPr>
              <w:spacing w:after="0" w:line="240" w:lineRule="auto"/>
              <w:rPr>
                <w:rFonts w:ascii="Arial" w:hAnsi="Arial" w:cs="Arial"/>
                <w:color w:val="000000"/>
                <w:sz w:val="20"/>
                <w:szCs w:val="20"/>
                <w:lang w:eastAsia="fr-FR"/>
              </w:rPr>
            </w:pPr>
            <w:r w:rsidRPr="00BC48B3">
              <w:rPr>
                <w:rFonts w:ascii="Arial" w:hAnsi="Arial" w:cs="Arial"/>
                <w:color w:val="000000"/>
                <w:sz w:val="20"/>
                <w:szCs w:val="20"/>
                <w:lang w:eastAsia="fr-FR"/>
              </w:rPr>
              <w:t>Jeune -26 ans</w:t>
            </w:r>
          </w:p>
        </w:tc>
        <w:tc>
          <w:tcPr>
            <w:tcW w:w="2977" w:type="dxa"/>
            <w:tcBorders>
              <w:top w:val="nil"/>
              <w:left w:val="nil"/>
              <w:bottom w:val="single" w:sz="4" w:space="0" w:color="000000"/>
              <w:right w:val="single" w:sz="8" w:space="0" w:color="000000"/>
            </w:tcBorders>
          </w:tcPr>
          <w:p w:rsidR="00740144" w:rsidRPr="00BC48B3" w:rsidRDefault="00740144" w:rsidP="00BC48B3">
            <w:pPr>
              <w:spacing w:after="0" w:line="240" w:lineRule="auto"/>
              <w:jc w:val="right"/>
              <w:rPr>
                <w:rFonts w:ascii="Arial" w:hAnsi="Arial" w:cs="Arial"/>
                <w:color w:val="000000"/>
                <w:sz w:val="20"/>
                <w:szCs w:val="20"/>
                <w:lang w:eastAsia="fr-FR"/>
              </w:rPr>
            </w:pPr>
            <w:r w:rsidRPr="00BC48B3">
              <w:rPr>
                <w:rFonts w:ascii="Arial" w:hAnsi="Arial" w:cs="Arial"/>
                <w:color w:val="000000"/>
                <w:sz w:val="20"/>
                <w:szCs w:val="20"/>
                <w:lang w:eastAsia="fr-FR"/>
              </w:rPr>
              <w:t>115</w:t>
            </w:r>
          </w:p>
        </w:tc>
      </w:tr>
      <w:tr w:rsidR="00740144" w:rsidRPr="000857F0">
        <w:trPr>
          <w:trHeight w:val="255"/>
        </w:trPr>
        <w:tc>
          <w:tcPr>
            <w:tcW w:w="5118" w:type="dxa"/>
            <w:tcBorders>
              <w:top w:val="nil"/>
              <w:left w:val="single" w:sz="8" w:space="0" w:color="000000"/>
              <w:bottom w:val="single" w:sz="4" w:space="0" w:color="000000"/>
              <w:right w:val="single" w:sz="4" w:space="0" w:color="000000"/>
            </w:tcBorders>
          </w:tcPr>
          <w:p w:rsidR="00740144" w:rsidRPr="00BC48B3" w:rsidRDefault="00740144" w:rsidP="00BC48B3">
            <w:pPr>
              <w:spacing w:after="0" w:line="240" w:lineRule="auto"/>
              <w:rPr>
                <w:rFonts w:ascii="Arial" w:hAnsi="Arial" w:cs="Arial"/>
                <w:color w:val="000000"/>
                <w:sz w:val="20"/>
                <w:szCs w:val="20"/>
                <w:lang w:eastAsia="fr-FR"/>
              </w:rPr>
            </w:pPr>
            <w:r w:rsidRPr="00BC48B3">
              <w:rPr>
                <w:rFonts w:ascii="Arial" w:hAnsi="Arial" w:cs="Arial"/>
                <w:color w:val="000000"/>
                <w:sz w:val="20"/>
                <w:szCs w:val="20"/>
                <w:lang w:eastAsia="fr-FR"/>
              </w:rPr>
              <w:t>RSA</w:t>
            </w:r>
          </w:p>
        </w:tc>
        <w:tc>
          <w:tcPr>
            <w:tcW w:w="2977" w:type="dxa"/>
            <w:tcBorders>
              <w:top w:val="nil"/>
              <w:left w:val="nil"/>
              <w:bottom w:val="single" w:sz="4" w:space="0" w:color="000000"/>
              <w:right w:val="single" w:sz="8" w:space="0" w:color="000000"/>
            </w:tcBorders>
          </w:tcPr>
          <w:p w:rsidR="00740144" w:rsidRPr="00BC48B3" w:rsidRDefault="00740144" w:rsidP="00BC48B3">
            <w:pPr>
              <w:spacing w:after="0" w:line="240" w:lineRule="auto"/>
              <w:jc w:val="right"/>
              <w:rPr>
                <w:rFonts w:ascii="Arial" w:hAnsi="Arial" w:cs="Arial"/>
                <w:color w:val="000000"/>
                <w:sz w:val="20"/>
                <w:szCs w:val="20"/>
                <w:lang w:eastAsia="fr-FR"/>
              </w:rPr>
            </w:pPr>
            <w:r w:rsidRPr="00BC48B3">
              <w:rPr>
                <w:rFonts w:ascii="Arial" w:hAnsi="Arial" w:cs="Arial"/>
                <w:color w:val="000000"/>
                <w:sz w:val="20"/>
                <w:szCs w:val="20"/>
                <w:lang w:eastAsia="fr-FR"/>
              </w:rPr>
              <w:t>145</w:t>
            </w:r>
          </w:p>
        </w:tc>
      </w:tr>
      <w:tr w:rsidR="00740144" w:rsidRPr="000857F0">
        <w:trPr>
          <w:trHeight w:val="255"/>
        </w:trPr>
        <w:tc>
          <w:tcPr>
            <w:tcW w:w="5118" w:type="dxa"/>
            <w:tcBorders>
              <w:top w:val="nil"/>
              <w:left w:val="single" w:sz="8" w:space="0" w:color="000000"/>
              <w:bottom w:val="single" w:sz="4" w:space="0" w:color="000000"/>
              <w:right w:val="single" w:sz="4" w:space="0" w:color="000000"/>
            </w:tcBorders>
          </w:tcPr>
          <w:p w:rsidR="00740144" w:rsidRPr="00BC48B3" w:rsidRDefault="00740144" w:rsidP="00BC48B3">
            <w:pPr>
              <w:spacing w:after="0" w:line="240" w:lineRule="auto"/>
              <w:rPr>
                <w:rFonts w:ascii="Arial" w:hAnsi="Arial" w:cs="Arial"/>
                <w:color w:val="000000"/>
                <w:sz w:val="20"/>
                <w:szCs w:val="20"/>
                <w:lang w:eastAsia="fr-FR"/>
              </w:rPr>
            </w:pPr>
            <w:r w:rsidRPr="00BC48B3">
              <w:rPr>
                <w:rFonts w:ascii="Arial" w:hAnsi="Arial" w:cs="Arial"/>
                <w:color w:val="000000"/>
                <w:sz w:val="20"/>
                <w:szCs w:val="20"/>
                <w:lang w:eastAsia="fr-FR"/>
              </w:rPr>
              <w:t>Bénéficiaires Minima Sociaux API/ASS</w:t>
            </w:r>
          </w:p>
        </w:tc>
        <w:tc>
          <w:tcPr>
            <w:tcW w:w="2977" w:type="dxa"/>
            <w:tcBorders>
              <w:top w:val="nil"/>
              <w:left w:val="nil"/>
              <w:bottom w:val="single" w:sz="4" w:space="0" w:color="000000"/>
              <w:right w:val="single" w:sz="8" w:space="0" w:color="000000"/>
            </w:tcBorders>
          </w:tcPr>
          <w:p w:rsidR="00740144" w:rsidRPr="00BC48B3" w:rsidRDefault="00740144" w:rsidP="00BC48B3">
            <w:pPr>
              <w:spacing w:after="0" w:line="240" w:lineRule="auto"/>
              <w:jc w:val="right"/>
              <w:rPr>
                <w:rFonts w:ascii="Arial" w:hAnsi="Arial" w:cs="Arial"/>
                <w:color w:val="000000"/>
                <w:sz w:val="20"/>
                <w:szCs w:val="20"/>
                <w:lang w:eastAsia="fr-FR"/>
              </w:rPr>
            </w:pPr>
            <w:r w:rsidRPr="00BC48B3">
              <w:rPr>
                <w:rFonts w:ascii="Arial" w:hAnsi="Arial" w:cs="Arial"/>
                <w:color w:val="000000"/>
                <w:sz w:val="20"/>
                <w:szCs w:val="20"/>
                <w:lang w:eastAsia="fr-FR"/>
              </w:rPr>
              <w:t>10</w:t>
            </w:r>
          </w:p>
        </w:tc>
      </w:tr>
      <w:tr w:rsidR="00740144" w:rsidRPr="000857F0">
        <w:trPr>
          <w:trHeight w:val="255"/>
        </w:trPr>
        <w:tc>
          <w:tcPr>
            <w:tcW w:w="5118" w:type="dxa"/>
            <w:tcBorders>
              <w:top w:val="nil"/>
              <w:left w:val="single" w:sz="8" w:space="0" w:color="000000"/>
              <w:bottom w:val="single" w:sz="4" w:space="0" w:color="000000"/>
              <w:right w:val="single" w:sz="4" w:space="0" w:color="000000"/>
            </w:tcBorders>
          </w:tcPr>
          <w:p w:rsidR="00740144" w:rsidRPr="00BC48B3" w:rsidRDefault="00740144" w:rsidP="00BC48B3">
            <w:pPr>
              <w:spacing w:after="0" w:line="240" w:lineRule="auto"/>
              <w:rPr>
                <w:rFonts w:ascii="Arial" w:hAnsi="Arial" w:cs="Arial"/>
                <w:color w:val="000000"/>
                <w:sz w:val="20"/>
                <w:szCs w:val="20"/>
                <w:lang w:eastAsia="fr-FR"/>
              </w:rPr>
            </w:pPr>
            <w:r w:rsidRPr="00BC48B3">
              <w:rPr>
                <w:rFonts w:ascii="Arial" w:hAnsi="Arial" w:cs="Arial"/>
                <w:color w:val="000000"/>
                <w:sz w:val="20"/>
                <w:szCs w:val="20"/>
                <w:lang w:eastAsia="fr-FR"/>
              </w:rPr>
              <w:t>DE + de 50 ans</w:t>
            </w:r>
          </w:p>
        </w:tc>
        <w:tc>
          <w:tcPr>
            <w:tcW w:w="2977" w:type="dxa"/>
            <w:tcBorders>
              <w:top w:val="nil"/>
              <w:left w:val="nil"/>
              <w:bottom w:val="single" w:sz="4" w:space="0" w:color="000000"/>
              <w:right w:val="single" w:sz="8" w:space="0" w:color="000000"/>
            </w:tcBorders>
          </w:tcPr>
          <w:p w:rsidR="00740144" w:rsidRPr="00BC48B3" w:rsidRDefault="00740144" w:rsidP="00BC48B3">
            <w:pPr>
              <w:spacing w:after="0" w:line="240" w:lineRule="auto"/>
              <w:jc w:val="right"/>
              <w:rPr>
                <w:rFonts w:ascii="Arial" w:hAnsi="Arial" w:cs="Arial"/>
                <w:color w:val="000000"/>
                <w:sz w:val="20"/>
                <w:szCs w:val="20"/>
                <w:lang w:eastAsia="fr-FR"/>
              </w:rPr>
            </w:pPr>
            <w:r w:rsidRPr="00BC48B3">
              <w:rPr>
                <w:rFonts w:ascii="Arial" w:hAnsi="Arial" w:cs="Arial"/>
                <w:color w:val="000000"/>
                <w:sz w:val="20"/>
                <w:szCs w:val="20"/>
                <w:lang w:eastAsia="fr-FR"/>
              </w:rPr>
              <w:t>11</w:t>
            </w:r>
          </w:p>
        </w:tc>
      </w:tr>
      <w:tr w:rsidR="00740144" w:rsidRPr="000857F0">
        <w:trPr>
          <w:trHeight w:val="255"/>
        </w:trPr>
        <w:tc>
          <w:tcPr>
            <w:tcW w:w="5118" w:type="dxa"/>
            <w:tcBorders>
              <w:top w:val="nil"/>
              <w:left w:val="single" w:sz="8" w:space="0" w:color="000000"/>
              <w:bottom w:val="single" w:sz="4" w:space="0" w:color="000000"/>
              <w:right w:val="single" w:sz="4" w:space="0" w:color="000000"/>
            </w:tcBorders>
          </w:tcPr>
          <w:p w:rsidR="00740144" w:rsidRPr="00BC48B3" w:rsidRDefault="00740144" w:rsidP="00BC48B3">
            <w:pPr>
              <w:spacing w:after="0" w:line="240" w:lineRule="auto"/>
              <w:rPr>
                <w:rFonts w:ascii="Arial" w:hAnsi="Arial" w:cs="Arial"/>
                <w:color w:val="000000"/>
                <w:sz w:val="20"/>
                <w:szCs w:val="20"/>
                <w:lang w:eastAsia="fr-FR"/>
              </w:rPr>
            </w:pPr>
            <w:r w:rsidRPr="00BC48B3">
              <w:rPr>
                <w:rFonts w:ascii="Arial" w:hAnsi="Arial" w:cs="Arial"/>
                <w:color w:val="000000"/>
                <w:sz w:val="20"/>
                <w:szCs w:val="20"/>
                <w:lang w:eastAsia="fr-FR"/>
              </w:rPr>
              <w:t>Qualification obsolète</w:t>
            </w:r>
          </w:p>
        </w:tc>
        <w:tc>
          <w:tcPr>
            <w:tcW w:w="2977" w:type="dxa"/>
            <w:tcBorders>
              <w:top w:val="nil"/>
              <w:left w:val="nil"/>
              <w:bottom w:val="single" w:sz="4" w:space="0" w:color="000000"/>
              <w:right w:val="single" w:sz="8" w:space="0" w:color="000000"/>
            </w:tcBorders>
          </w:tcPr>
          <w:p w:rsidR="00740144" w:rsidRPr="00BC48B3" w:rsidRDefault="00740144" w:rsidP="00BC48B3">
            <w:pPr>
              <w:spacing w:after="0" w:line="240" w:lineRule="auto"/>
              <w:jc w:val="right"/>
              <w:rPr>
                <w:rFonts w:ascii="Arial" w:hAnsi="Arial" w:cs="Arial"/>
                <w:color w:val="000000"/>
                <w:sz w:val="20"/>
                <w:szCs w:val="20"/>
                <w:lang w:eastAsia="fr-FR"/>
              </w:rPr>
            </w:pPr>
            <w:r w:rsidRPr="00BC48B3">
              <w:rPr>
                <w:rFonts w:ascii="Arial" w:hAnsi="Arial" w:cs="Arial"/>
                <w:color w:val="000000"/>
                <w:sz w:val="20"/>
                <w:szCs w:val="20"/>
                <w:lang w:eastAsia="fr-FR"/>
              </w:rPr>
              <w:t>13</w:t>
            </w:r>
          </w:p>
        </w:tc>
      </w:tr>
      <w:tr w:rsidR="00740144" w:rsidRPr="000857F0">
        <w:trPr>
          <w:trHeight w:val="255"/>
        </w:trPr>
        <w:tc>
          <w:tcPr>
            <w:tcW w:w="5118" w:type="dxa"/>
            <w:tcBorders>
              <w:top w:val="nil"/>
              <w:left w:val="single" w:sz="8" w:space="0" w:color="000000"/>
              <w:bottom w:val="single" w:sz="8" w:space="0" w:color="000000"/>
              <w:right w:val="single" w:sz="4" w:space="0" w:color="000000"/>
            </w:tcBorders>
            <w:shd w:val="clear" w:color="auto" w:fill="E5DFEC"/>
          </w:tcPr>
          <w:p w:rsidR="00740144" w:rsidRPr="00BC48B3" w:rsidRDefault="00740144" w:rsidP="00BC48B3">
            <w:pPr>
              <w:spacing w:after="0" w:line="240" w:lineRule="auto"/>
              <w:rPr>
                <w:rFonts w:ascii="Arial" w:hAnsi="Arial" w:cs="Arial"/>
                <w:b/>
                <w:bCs/>
                <w:color w:val="5F497A"/>
                <w:sz w:val="4"/>
                <w:szCs w:val="4"/>
                <w:lang w:eastAsia="fr-FR"/>
              </w:rPr>
            </w:pPr>
          </w:p>
          <w:p w:rsidR="00740144" w:rsidRDefault="00740144" w:rsidP="00BC48B3">
            <w:pPr>
              <w:spacing w:after="0" w:line="240" w:lineRule="auto"/>
              <w:rPr>
                <w:rFonts w:ascii="Arial" w:hAnsi="Arial" w:cs="Arial"/>
                <w:b/>
                <w:bCs/>
                <w:color w:val="5F497A"/>
                <w:sz w:val="20"/>
                <w:szCs w:val="20"/>
                <w:lang w:eastAsia="fr-FR"/>
              </w:rPr>
            </w:pPr>
            <w:r w:rsidRPr="00BC48B3">
              <w:rPr>
                <w:rFonts w:ascii="Arial" w:hAnsi="Arial" w:cs="Arial"/>
                <w:b/>
                <w:bCs/>
                <w:color w:val="5F497A"/>
                <w:sz w:val="20"/>
                <w:szCs w:val="20"/>
                <w:lang w:eastAsia="fr-FR"/>
              </w:rPr>
              <w:t>Total participants concernés</w:t>
            </w:r>
          </w:p>
          <w:p w:rsidR="00740144" w:rsidRPr="00BC48B3" w:rsidRDefault="00740144" w:rsidP="00BC48B3">
            <w:pPr>
              <w:spacing w:after="0" w:line="240" w:lineRule="auto"/>
              <w:rPr>
                <w:rFonts w:ascii="Arial" w:hAnsi="Arial" w:cs="Arial"/>
                <w:b/>
                <w:bCs/>
                <w:color w:val="5F497A"/>
                <w:sz w:val="4"/>
                <w:szCs w:val="4"/>
                <w:lang w:eastAsia="fr-FR"/>
              </w:rPr>
            </w:pPr>
          </w:p>
        </w:tc>
        <w:tc>
          <w:tcPr>
            <w:tcW w:w="2977" w:type="dxa"/>
            <w:tcBorders>
              <w:top w:val="nil"/>
              <w:left w:val="nil"/>
              <w:bottom w:val="single" w:sz="8" w:space="0" w:color="000000"/>
              <w:right w:val="single" w:sz="8" w:space="0" w:color="000000"/>
            </w:tcBorders>
            <w:shd w:val="clear" w:color="auto" w:fill="E5DFEC"/>
          </w:tcPr>
          <w:p w:rsidR="00740144" w:rsidRPr="00BC48B3" w:rsidRDefault="00740144" w:rsidP="00BC48B3">
            <w:pPr>
              <w:spacing w:after="0" w:line="240" w:lineRule="auto"/>
              <w:jc w:val="right"/>
              <w:rPr>
                <w:rFonts w:ascii="Arial" w:hAnsi="Arial" w:cs="Arial"/>
                <w:b/>
                <w:bCs/>
                <w:color w:val="5F497A"/>
                <w:sz w:val="4"/>
                <w:szCs w:val="4"/>
                <w:lang w:eastAsia="fr-FR"/>
              </w:rPr>
            </w:pPr>
          </w:p>
          <w:p w:rsidR="00740144" w:rsidRPr="00BC48B3" w:rsidRDefault="00740144" w:rsidP="00BC48B3">
            <w:pPr>
              <w:spacing w:after="0" w:line="240" w:lineRule="auto"/>
              <w:jc w:val="right"/>
              <w:rPr>
                <w:rFonts w:ascii="Arial" w:hAnsi="Arial" w:cs="Arial"/>
                <w:b/>
                <w:bCs/>
                <w:color w:val="5F497A"/>
                <w:sz w:val="20"/>
                <w:szCs w:val="20"/>
                <w:lang w:eastAsia="fr-FR"/>
              </w:rPr>
            </w:pPr>
            <w:r>
              <w:rPr>
                <w:rFonts w:ascii="Arial" w:hAnsi="Arial" w:cs="Arial"/>
                <w:b/>
                <w:bCs/>
                <w:color w:val="5F497A"/>
                <w:sz w:val="20"/>
                <w:szCs w:val="20"/>
                <w:lang w:eastAsia="fr-FR"/>
              </w:rPr>
              <w:t>3</w:t>
            </w:r>
            <w:r w:rsidRPr="00BC48B3">
              <w:rPr>
                <w:rFonts w:ascii="Arial" w:hAnsi="Arial" w:cs="Arial"/>
                <w:b/>
                <w:bCs/>
                <w:color w:val="5F497A"/>
                <w:sz w:val="20"/>
                <w:szCs w:val="20"/>
                <w:lang w:eastAsia="fr-FR"/>
              </w:rPr>
              <w:t>83</w:t>
            </w:r>
          </w:p>
        </w:tc>
      </w:tr>
    </w:tbl>
    <w:p w:rsidR="00740144" w:rsidRPr="00D072DE" w:rsidRDefault="00740144">
      <w:pPr>
        <w:rPr>
          <w:sz w:val="16"/>
          <w:szCs w:val="16"/>
        </w:rPr>
      </w:pPr>
    </w:p>
    <w:p w:rsidR="00740144" w:rsidRDefault="00740144" w:rsidP="00D072DE">
      <w:pPr>
        <w:spacing w:after="0"/>
        <w:rPr>
          <w:sz w:val="24"/>
          <w:szCs w:val="24"/>
        </w:rPr>
      </w:pPr>
      <w:r>
        <w:rPr>
          <w:sz w:val="24"/>
          <w:szCs w:val="24"/>
        </w:rPr>
        <w:t>Progression de 30% des demandeurs d’emploi de longue durée par rapport à l’année 2011.</w:t>
      </w:r>
    </w:p>
    <w:p w:rsidR="00740144" w:rsidRDefault="00740144" w:rsidP="00D072DE">
      <w:pPr>
        <w:spacing w:after="0"/>
        <w:rPr>
          <w:sz w:val="24"/>
          <w:szCs w:val="24"/>
        </w:rPr>
      </w:pPr>
      <w:r>
        <w:rPr>
          <w:sz w:val="24"/>
          <w:szCs w:val="24"/>
        </w:rPr>
        <w:t>Ce qui permet d’équilibrer la part bénéficiaires RSA et DELD.</w:t>
      </w:r>
    </w:p>
    <w:p w:rsidR="00740144" w:rsidRDefault="00740144" w:rsidP="00D072DE">
      <w:pPr>
        <w:spacing w:after="0"/>
        <w:rPr>
          <w:sz w:val="24"/>
          <w:szCs w:val="24"/>
        </w:rPr>
      </w:pPr>
    </w:p>
    <w:p w:rsidR="00740144" w:rsidRPr="001A4548" w:rsidRDefault="00740144" w:rsidP="008B4E43">
      <w:pPr>
        <w:pStyle w:val="Paragraphedeliste"/>
        <w:numPr>
          <w:ilvl w:val="0"/>
          <w:numId w:val="1"/>
        </w:numPr>
        <w:tabs>
          <w:tab w:val="clear" w:pos="360"/>
          <w:tab w:val="num" w:pos="567"/>
        </w:tabs>
        <w:ind w:left="709" w:hanging="567"/>
        <w:rPr>
          <w:color w:val="5F497A"/>
          <w:sz w:val="36"/>
        </w:rPr>
      </w:pPr>
      <w:r>
        <w:rPr>
          <w:rFonts w:ascii="Calibri" w:hAnsi="Calibri" w:cs="+mn-cs"/>
          <w:color w:val="5F497A"/>
          <w:sz w:val="36"/>
          <w:szCs w:val="36"/>
        </w:rPr>
        <w:t>L’âge des bénéficiaires de la clause sociale</w:t>
      </w:r>
    </w:p>
    <w:p w:rsidR="00740144" w:rsidRDefault="00771071" w:rsidP="00BF1396">
      <w:pPr>
        <w:jc w:val="center"/>
        <w:rPr>
          <w:rFonts w:ascii="Franklin Gothic Book" w:hAnsi="Franklin Gothic Book"/>
          <w:color w:val="5F497A"/>
        </w:rPr>
      </w:pPr>
      <w:r>
        <w:rPr>
          <w:noProof/>
          <w:lang w:eastAsia="fr-FR"/>
        </w:rPr>
        <w:drawing>
          <wp:inline distT="0" distB="0" distL="0" distR="0">
            <wp:extent cx="4813300" cy="3009900"/>
            <wp:effectExtent l="0" t="0" r="0" b="0"/>
            <wp:docPr id="32" name="Graphique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740144" w:rsidRPr="009507F2" w:rsidRDefault="00740144" w:rsidP="00B95F5B">
      <w:r>
        <w:t>La part des moins de 26 ans passe de 26% à 31% en 2012. Les autres tranches d’âge restent stables : les personnes de plus de 40 ans représentent 40% (25 personnes de plus de 51 ans ont bénéficié du dispositif clause soit 7% du public mobilisé).</w:t>
      </w:r>
    </w:p>
    <w:p w:rsidR="00740144" w:rsidRPr="00FB0241" w:rsidRDefault="00740144" w:rsidP="009B2D62">
      <w:pPr>
        <w:pStyle w:val="Paragraphedeliste"/>
        <w:numPr>
          <w:ilvl w:val="0"/>
          <w:numId w:val="1"/>
        </w:numPr>
        <w:tabs>
          <w:tab w:val="clear" w:pos="360"/>
          <w:tab w:val="num" w:pos="567"/>
        </w:tabs>
        <w:spacing w:before="240"/>
        <w:ind w:left="709" w:hanging="567"/>
        <w:rPr>
          <w:color w:val="5F497A"/>
          <w:sz w:val="36"/>
        </w:rPr>
      </w:pPr>
      <w:r>
        <w:rPr>
          <w:rFonts w:ascii="Calibri" w:hAnsi="Calibri" w:cs="+mn-cs"/>
          <w:color w:val="5F497A"/>
          <w:sz w:val="36"/>
          <w:szCs w:val="36"/>
        </w:rPr>
        <w:t>Le niveau de formation des bénéficiaires</w:t>
      </w:r>
    </w:p>
    <w:p w:rsidR="00740144" w:rsidRDefault="007C4A7C" w:rsidP="00B95F5B">
      <w:pPr>
        <w:rPr>
          <w:color w:val="5F497A"/>
        </w:rPr>
      </w:pPr>
      <w:r w:rsidRPr="007C4A7C">
        <w:rPr>
          <w:noProof/>
          <w:lang w:eastAsia="fr-FR"/>
        </w:rPr>
        <w:pict>
          <v:rect id="Rectangle 396" o:spid="_x0000_s1038" style="position:absolute;margin-left:265.9pt;margin-top:382.9pt;width:225.75pt;height:292.5pt;flip:x;z-index:251658240;visibility:visible;mso-wrap-distance-top:7.2pt;mso-wrap-distance-bottom:7.2pt;mso-position-horizontal-relative:margin;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" o:allowincell="f" strokecolor="gray" strokeweight="1.5pt">
            <v:shadow on="t" type="perspective" opacity="26214f" origin="-.5,-.5" matrix="65864f,,,65864f"/>
            <v:textbox inset="21.6pt,21.6pt,21.6pt,21.6pt">
              <w:txbxContent>
                <w:p w:rsidR="00740144" w:rsidRPr="000857F0" w:rsidRDefault="00740144" w:rsidP="008B4E43">
                  <w:pPr>
                    <w:pStyle w:val="Default"/>
                    <w:rPr>
                      <w:rFonts w:ascii="Calibri" w:hAnsi="Calibri"/>
                      <w:sz w:val="20"/>
                      <w:szCs w:val="20"/>
                    </w:rPr>
                  </w:pPr>
                  <w:r w:rsidRPr="000857F0">
                    <w:rPr>
                      <w:rFonts w:ascii="Calibri" w:hAnsi="Calibri"/>
                      <w:b/>
                      <w:sz w:val="20"/>
                      <w:szCs w:val="20"/>
                    </w:rPr>
                    <w:t>Niveau VI et V bis</w:t>
                  </w:r>
                  <w:r w:rsidRPr="000857F0">
                    <w:rPr>
                      <w:rFonts w:ascii="Calibri" w:hAnsi="Calibri"/>
                      <w:sz w:val="20"/>
                      <w:szCs w:val="20"/>
                    </w:rPr>
                    <w:t xml:space="preserve"> : sorties en cours de 1er cycle de l'enseignement secondaire (6ème à 3ème) ou abandons en cours de CAP ou BEP avant l'année terminale. </w:t>
                  </w:r>
                </w:p>
                <w:p w:rsidR="00740144" w:rsidRPr="000857F0" w:rsidRDefault="00740144" w:rsidP="008B4E43">
                  <w:pPr>
                    <w:pStyle w:val="Default"/>
                    <w:rPr>
                      <w:rFonts w:ascii="Calibri" w:hAnsi="Calibri"/>
                      <w:sz w:val="20"/>
                      <w:szCs w:val="20"/>
                    </w:rPr>
                  </w:pPr>
                  <w:r w:rsidRPr="000857F0">
                    <w:rPr>
                      <w:rFonts w:ascii="Calibri" w:hAnsi="Calibri"/>
                      <w:b/>
                      <w:sz w:val="20"/>
                      <w:szCs w:val="20"/>
                    </w:rPr>
                    <w:t>Niveau V</w:t>
                  </w:r>
                  <w:r w:rsidRPr="000857F0">
                    <w:rPr>
                      <w:rFonts w:ascii="Calibri" w:hAnsi="Calibri"/>
                      <w:sz w:val="20"/>
                      <w:szCs w:val="20"/>
                    </w:rPr>
                    <w:t xml:space="preserve"> : sorties après l'année terminale de CAP ou BEP ou sorties de 2nd cycle général et technologique avant l'année terminale (seconde ou première). </w:t>
                  </w:r>
                </w:p>
                <w:p w:rsidR="00740144" w:rsidRPr="000857F0" w:rsidRDefault="00740144" w:rsidP="008B4E43">
                  <w:pPr>
                    <w:pStyle w:val="Default"/>
                    <w:rPr>
                      <w:rFonts w:ascii="Calibri" w:hAnsi="Calibri"/>
                      <w:sz w:val="20"/>
                      <w:szCs w:val="20"/>
                    </w:rPr>
                  </w:pPr>
                  <w:r w:rsidRPr="000857F0">
                    <w:rPr>
                      <w:rFonts w:ascii="Calibri" w:hAnsi="Calibri"/>
                      <w:b/>
                      <w:sz w:val="20"/>
                      <w:szCs w:val="20"/>
                    </w:rPr>
                    <w:t>Niveau IV :</w:t>
                  </w:r>
                  <w:r w:rsidRPr="000857F0">
                    <w:rPr>
                      <w:rFonts w:ascii="Calibri" w:hAnsi="Calibri"/>
                      <w:sz w:val="20"/>
                      <w:szCs w:val="20"/>
                    </w:rPr>
                    <w:t xml:space="preserve"> sorties des classes de terminale de l'enseignement secondaire (avec ou sans le baccalauréat). Abandons des études supérieures sans diplôme. </w:t>
                  </w:r>
                </w:p>
                <w:p w:rsidR="00740144" w:rsidRPr="000857F0" w:rsidRDefault="00740144" w:rsidP="008B4E43">
                  <w:pPr>
                    <w:pStyle w:val="Default"/>
                    <w:rPr>
                      <w:rFonts w:ascii="Calibri" w:hAnsi="Calibri"/>
                      <w:sz w:val="20"/>
                      <w:szCs w:val="20"/>
                    </w:rPr>
                  </w:pPr>
                  <w:r w:rsidRPr="000857F0">
                    <w:rPr>
                      <w:rFonts w:ascii="Calibri" w:hAnsi="Calibri"/>
                      <w:b/>
                      <w:sz w:val="20"/>
                      <w:szCs w:val="20"/>
                    </w:rPr>
                    <w:t>Niveau III</w:t>
                  </w:r>
                  <w:r w:rsidRPr="000857F0">
                    <w:rPr>
                      <w:rFonts w:ascii="Calibri" w:hAnsi="Calibri"/>
                      <w:sz w:val="20"/>
                      <w:szCs w:val="20"/>
                    </w:rPr>
                    <w:t xml:space="preserve"> : sorties avec un diplôme de niveau Bac + 2 ans (DUT, BTS, DEUG, écoles des formations sanitaires ou sociales, etc.). </w:t>
                  </w:r>
                </w:p>
                <w:p w:rsidR="00740144" w:rsidRPr="008B4E43" w:rsidRDefault="00740144" w:rsidP="008B4E43">
                  <w:r w:rsidRPr="008B4E43">
                    <w:rPr>
                      <w:b/>
                      <w:sz w:val="20"/>
                      <w:szCs w:val="20"/>
                    </w:rPr>
                    <w:t>Niveaux II et I</w:t>
                  </w:r>
                  <w:r w:rsidRPr="008B4E43">
                    <w:rPr>
                      <w:sz w:val="20"/>
                      <w:szCs w:val="20"/>
                    </w:rPr>
                    <w:t xml:space="preserve"> : sorties avec un diplôme de niveau supérieur à bac+2 (licence, maîtrise, master, DEA, DESS, doctorat, diplôme de grande école)</w:t>
                  </w:r>
                </w:p>
                <w:p w:rsidR="00740144" w:rsidRPr="000857F0" w:rsidRDefault="00740144">
                  <w:pPr>
                    <w:rPr>
                      <w:color w:val="4F81BD"/>
                      <w:sz w:val="20"/>
                      <w:szCs w:val="20"/>
                    </w:rPr>
                  </w:pPr>
                </w:p>
              </w:txbxContent>
            </v:textbox>
            <w10:wrap type="square" anchorx="margin" anchory="margin"/>
          </v:rect>
        </w:pict>
      </w:r>
    </w:p>
    <w:p w:rsidR="00740144" w:rsidRPr="008B4E43" w:rsidRDefault="00771071" w:rsidP="008B4E43">
      <w:pPr>
        <w:rPr>
          <w:color w:val="5F497A"/>
        </w:rPr>
      </w:pPr>
      <w:r>
        <w:rPr>
          <w:noProof/>
          <w:lang w:eastAsia="fr-FR"/>
        </w:rPr>
        <w:drawing>
          <wp:inline distT="0" distB="0" distL="0" distR="0">
            <wp:extent cx="3479800" cy="2959100"/>
            <wp:effectExtent l="0" t="0" r="0" b="0"/>
            <wp:docPr id="33" name="Graphique 2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740144" w:rsidRPr="009B2D62" w:rsidRDefault="00740144" w:rsidP="008B4E43">
      <w:pPr>
        <w:pStyle w:val="Default"/>
        <w:rPr>
          <w:rFonts w:ascii="Calibri" w:hAnsi="Calibri"/>
        </w:rPr>
      </w:pPr>
      <w:r w:rsidRPr="009B2D62">
        <w:rPr>
          <w:rFonts w:ascii="Calibri" w:hAnsi="Calibri"/>
        </w:rPr>
        <w:t xml:space="preserve">Comme en 2011, les clauses sociales bénéficient en premier lieu aux plus faibles niveaux de qualification. </w:t>
      </w:r>
    </w:p>
    <w:p w:rsidR="00740144" w:rsidRDefault="00740144">
      <w:r>
        <w:br w:type="page"/>
      </w:r>
    </w:p>
    <w:p w:rsidR="00740144" w:rsidRPr="00FB0241" w:rsidRDefault="00740144" w:rsidP="009B2D62">
      <w:pPr>
        <w:numPr>
          <w:ilvl w:val="0"/>
          <w:numId w:val="1"/>
        </w:numPr>
        <w:tabs>
          <w:tab w:val="clear" w:pos="360"/>
          <w:tab w:val="num" w:pos="567"/>
        </w:tabs>
        <w:spacing w:after="0" w:line="240" w:lineRule="auto"/>
        <w:ind w:left="709" w:hanging="567"/>
        <w:contextualSpacing/>
        <w:rPr>
          <w:rFonts w:ascii="Times New Roman" w:hAnsi="Times New Roman"/>
          <w:color w:val="5F497A"/>
          <w:sz w:val="36"/>
          <w:szCs w:val="24"/>
          <w:lang w:eastAsia="fr-FR"/>
        </w:rPr>
      </w:pPr>
      <w:r>
        <w:rPr>
          <w:rFonts w:cs="+mn-cs"/>
          <w:color w:val="5F497A"/>
          <w:sz w:val="36"/>
          <w:szCs w:val="36"/>
          <w:lang w:eastAsia="fr-FR"/>
        </w:rPr>
        <w:t>L’orientation du public par les prescripteurs</w:t>
      </w:r>
    </w:p>
    <w:p w:rsidR="00740144" w:rsidRPr="007C6E61" w:rsidRDefault="00740144" w:rsidP="00BC5D0C">
      <w:pPr>
        <w:rPr>
          <w:rFonts w:ascii="Franklin Gothic Book" w:hAnsi="Franklin Gothic Book"/>
          <w:color w:val="5F497A"/>
          <w:sz w:val="16"/>
          <w:szCs w:val="16"/>
        </w:rPr>
      </w:pPr>
    </w:p>
    <w:p w:rsidR="00740144" w:rsidRDefault="00771071" w:rsidP="002A7558">
      <w:pPr>
        <w:jc w:val="center"/>
      </w:pPr>
      <w:r>
        <w:rPr>
          <w:noProof/>
          <w:lang w:eastAsia="fr-FR"/>
        </w:rPr>
        <w:drawing>
          <wp:inline distT="0" distB="0" distL="0" distR="0">
            <wp:extent cx="4902200" cy="3289300"/>
            <wp:effectExtent l="0" t="0" r="0" b="0"/>
            <wp:docPr id="34" name="Graphique 2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740144" w:rsidRPr="000D66E6" w:rsidRDefault="00740144">
      <w:pPr>
        <w:rPr>
          <w:sz w:val="24"/>
          <w:szCs w:val="24"/>
        </w:rPr>
      </w:pPr>
      <w:r w:rsidRPr="000D66E6">
        <w:rPr>
          <w:sz w:val="24"/>
          <w:szCs w:val="24"/>
        </w:rPr>
        <w:t>Grâce à l’animation territoriale conduite par le PLIE de Bordeaux, les publics sont orientés par plus de 20 structures : soit 282 personnes orientées vers le dispositif clause en 2012.</w:t>
      </w:r>
    </w:p>
    <w:p w:rsidR="00740144" w:rsidRPr="000D66E6" w:rsidRDefault="00740144" w:rsidP="00527C7E">
      <w:pPr>
        <w:jc w:val="both"/>
        <w:rPr>
          <w:sz w:val="24"/>
          <w:szCs w:val="24"/>
        </w:rPr>
      </w:pPr>
      <w:r>
        <w:rPr>
          <w:sz w:val="24"/>
          <w:szCs w:val="24"/>
        </w:rPr>
        <w:t>Les publics sont prescrits</w:t>
      </w:r>
      <w:r w:rsidRPr="000D66E6">
        <w:rPr>
          <w:sz w:val="24"/>
          <w:szCs w:val="24"/>
        </w:rPr>
        <w:t xml:space="preserve"> majoritairement par le PLIE de Bordeaux, la Mission Locale de Bordeaux, Pôle Emploi et les Structures IAE de Bordeaux (BIC, ARE 33, A2I) pour 72% et ce, grâce à un travail collaboratif amplifié en 2012 par la création d’un poste de référent d’étape</w:t>
      </w:r>
      <w:r>
        <w:rPr>
          <w:sz w:val="24"/>
          <w:szCs w:val="24"/>
        </w:rPr>
        <w:t>s</w:t>
      </w:r>
      <w:r w:rsidRPr="000D66E6">
        <w:rPr>
          <w:sz w:val="24"/>
          <w:szCs w:val="24"/>
        </w:rPr>
        <w:t xml:space="preserve"> clause sociale.</w:t>
      </w:r>
    </w:p>
    <w:p w:rsidR="00740144" w:rsidRPr="000D66E6" w:rsidRDefault="00740144" w:rsidP="00527C7E">
      <w:pPr>
        <w:jc w:val="both"/>
        <w:rPr>
          <w:sz w:val="24"/>
          <w:szCs w:val="24"/>
        </w:rPr>
      </w:pPr>
      <w:r w:rsidRPr="000D66E6">
        <w:rPr>
          <w:sz w:val="24"/>
          <w:szCs w:val="24"/>
        </w:rPr>
        <w:t>On note une progression significative de près de 45% des participants du PLIE de Bordea</w:t>
      </w:r>
      <w:r>
        <w:rPr>
          <w:sz w:val="24"/>
          <w:szCs w:val="24"/>
        </w:rPr>
        <w:t>ux et des jeunes de la Mission L</w:t>
      </w:r>
      <w:r w:rsidRPr="000D66E6">
        <w:rPr>
          <w:sz w:val="24"/>
          <w:szCs w:val="24"/>
        </w:rPr>
        <w:t>ocale de Bordeaux orientés en 2012.</w:t>
      </w:r>
    </w:p>
    <w:p w:rsidR="00740144" w:rsidRPr="000D66E6" w:rsidRDefault="00740144" w:rsidP="00527C7E">
      <w:pPr>
        <w:jc w:val="both"/>
        <w:rPr>
          <w:sz w:val="24"/>
          <w:szCs w:val="24"/>
        </w:rPr>
      </w:pPr>
      <w:r w:rsidRPr="000D66E6">
        <w:rPr>
          <w:sz w:val="24"/>
          <w:szCs w:val="24"/>
        </w:rPr>
        <w:t xml:space="preserve">Des comités de suivi des publics afin de garantir la sécurisation des parcours ainsi que des informations collectives réunissant l’ensemble des partenaires permettent d’apporter une information sur la programmation,  d’anticiper les futurs besoins en main d’œuvre et d’assurer une pré-sélection des candidats (une procédure d’orientation des publics est mise en place notamment sur les grands projets). </w:t>
      </w:r>
    </w:p>
    <w:p w:rsidR="00740144" w:rsidRPr="000D66E6" w:rsidRDefault="00740144" w:rsidP="00527C7E">
      <w:pPr>
        <w:jc w:val="both"/>
        <w:rPr>
          <w:sz w:val="24"/>
          <w:szCs w:val="24"/>
        </w:rPr>
      </w:pPr>
      <w:r w:rsidRPr="000D66E6">
        <w:rPr>
          <w:sz w:val="24"/>
          <w:szCs w:val="24"/>
        </w:rPr>
        <w:t>Le PLIE de Bordeaux a souhaité que ces instances soient mutualisées avec l’Equipe Clause du Conseil Général Gironde afin de constituer un guichet unique sur Bordeaux.</w:t>
      </w:r>
    </w:p>
    <w:p w:rsidR="00740144" w:rsidRDefault="00740144">
      <w:pPr>
        <w:rPr>
          <w:sz w:val="24"/>
          <w:szCs w:val="24"/>
        </w:rPr>
      </w:pPr>
      <w:r w:rsidRPr="000D66E6">
        <w:rPr>
          <w:sz w:val="24"/>
          <w:szCs w:val="24"/>
        </w:rPr>
        <w:t xml:space="preserve">A noter : toutes les opportunités de recrutement dans le cadre de la clause sociale ne font pas l’objet de diffusion d’offres d’emploi, le PLIE informe les SIAE qui peuvent positionner directement leurs salariés en fonction des modalités choisies par les entreprises.  </w:t>
      </w:r>
    </w:p>
    <w:p w:rsidR="00740144" w:rsidRDefault="00740144">
      <w:pPr>
        <w:rPr>
          <w:sz w:val="24"/>
          <w:szCs w:val="24"/>
        </w:rPr>
      </w:pPr>
      <w:r w:rsidRPr="000D66E6">
        <w:rPr>
          <w:sz w:val="24"/>
          <w:szCs w:val="24"/>
        </w:rPr>
        <w:t>Cette démarche s’inscrit dans une logique de maintien en emploi de leurs salariés et d’apport d’activités pour ces structures.</w:t>
      </w:r>
    </w:p>
    <w:p w:rsidR="00740144" w:rsidRPr="000D66E6" w:rsidRDefault="00740144">
      <w:pPr>
        <w:rPr>
          <w:sz w:val="24"/>
          <w:szCs w:val="24"/>
        </w:rPr>
      </w:pPr>
    </w:p>
    <w:p w:rsidR="00740144" w:rsidRPr="00FB0241" w:rsidRDefault="00740144" w:rsidP="009B2D62">
      <w:pPr>
        <w:numPr>
          <w:ilvl w:val="0"/>
          <w:numId w:val="1"/>
        </w:numPr>
        <w:tabs>
          <w:tab w:val="clear" w:pos="360"/>
          <w:tab w:val="num" w:pos="567"/>
        </w:tabs>
        <w:spacing w:after="0" w:line="240" w:lineRule="auto"/>
        <w:ind w:left="709" w:hanging="567"/>
        <w:contextualSpacing/>
        <w:rPr>
          <w:rFonts w:ascii="Times New Roman" w:hAnsi="Times New Roman"/>
          <w:color w:val="5F497A"/>
          <w:sz w:val="36"/>
          <w:szCs w:val="24"/>
          <w:lang w:eastAsia="fr-FR"/>
        </w:rPr>
      </w:pPr>
      <w:r w:rsidRPr="00FB0241">
        <w:rPr>
          <w:rFonts w:cs="+mn-cs"/>
          <w:color w:val="5F497A"/>
          <w:sz w:val="36"/>
          <w:szCs w:val="36"/>
          <w:lang w:eastAsia="fr-FR"/>
        </w:rPr>
        <w:t>Répartition</w:t>
      </w:r>
      <w:r>
        <w:rPr>
          <w:rFonts w:cs="+mn-cs"/>
          <w:color w:val="5F497A"/>
          <w:sz w:val="36"/>
          <w:szCs w:val="36"/>
          <w:lang w:eastAsia="fr-FR"/>
        </w:rPr>
        <w:t xml:space="preserve"> des contrats de travail</w:t>
      </w:r>
      <w:r w:rsidRPr="00FB0241">
        <w:rPr>
          <w:rFonts w:cs="+mn-cs"/>
          <w:color w:val="5F497A"/>
          <w:sz w:val="36"/>
          <w:szCs w:val="36"/>
          <w:lang w:eastAsia="fr-FR"/>
        </w:rPr>
        <w:t xml:space="preserve"> par</w:t>
      </w:r>
      <w:r>
        <w:rPr>
          <w:rFonts w:cs="+mn-cs"/>
          <w:color w:val="5F497A"/>
          <w:sz w:val="36"/>
          <w:szCs w:val="36"/>
          <w:lang w:eastAsia="fr-FR"/>
        </w:rPr>
        <w:t xml:space="preserve"> type de</w:t>
      </w:r>
      <w:r w:rsidRPr="00FB0241">
        <w:rPr>
          <w:rFonts w:cs="+mn-cs"/>
          <w:color w:val="5F497A"/>
          <w:sz w:val="36"/>
          <w:szCs w:val="36"/>
          <w:lang w:eastAsia="fr-FR"/>
        </w:rPr>
        <w:t xml:space="preserve"> structure d’accompagnement</w:t>
      </w:r>
      <w:r>
        <w:rPr>
          <w:rFonts w:cs="+mn-cs"/>
          <w:color w:val="5F497A"/>
          <w:sz w:val="36"/>
          <w:szCs w:val="36"/>
          <w:lang w:eastAsia="fr-FR"/>
        </w:rPr>
        <w:t xml:space="preserve"> des bénéficiaires de la clause</w:t>
      </w:r>
    </w:p>
    <w:p w:rsidR="00740144" w:rsidRPr="00FB0241" w:rsidRDefault="00740144" w:rsidP="00BC5D0C">
      <w:pPr>
        <w:rPr>
          <w:rFonts w:ascii="Franklin Gothic Book" w:hAnsi="Franklin Gothic Book"/>
          <w:color w:val="5F497A"/>
        </w:rPr>
      </w:pPr>
    </w:p>
    <w:p w:rsidR="00740144" w:rsidRPr="00FB0241" w:rsidRDefault="00740144" w:rsidP="00BC5D0C">
      <w:pPr>
        <w:suppressAutoHyphens/>
        <w:spacing w:after="0" w:line="240" w:lineRule="auto"/>
        <w:rPr>
          <w:rFonts w:ascii="Franklin Gothic Book" w:hAnsi="Franklin Gothic Book"/>
          <w:b/>
          <w:color w:val="CC003F"/>
          <w:sz w:val="16"/>
          <w:szCs w:val="16"/>
          <w:lang w:eastAsia="ar-SA"/>
        </w:rPr>
      </w:pPr>
    </w:p>
    <w:tbl>
      <w:tblPr>
        <w:tblW w:w="6000" w:type="dxa"/>
        <w:tblInd w:w="65" w:type="dxa"/>
        <w:tblCellMar>
          <w:left w:w="70" w:type="dxa"/>
          <w:right w:w="70" w:type="dxa"/>
        </w:tblCellMar>
        <w:tblLook w:val="0000"/>
      </w:tblPr>
      <w:tblGrid>
        <w:gridCol w:w="4800"/>
        <w:gridCol w:w="1200"/>
      </w:tblGrid>
      <w:tr w:rsidR="00740144" w:rsidRPr="000857F0">
        <w:trPr>
          <w:trHeight w:val="255"/>
        </w:trPr>
        <w:tc>
          <w:tcPr>
            <w:tcW w:w="4800" w:type="dxa"/>
            <w:tcBorders>
              <w:top w:val="single" w:sz="4" w:space="0" w:color="auto"/>
              <w:left w:val="single" w:sz="4" w:space="0" w:color="auto"/>
              <w:bottom w:val="single" w:sz="4" w:space="0" w:color="auto"/>
              <w:right w:val="single" w:sz="4" w:space="0" w:color="auto"/>
            </w:tcBorders>
            <w:noWrap/>
            <w:vAlign w:val="bottom"/>
          </w:tcPr>
          <w:p w:rsidR="00740144" w:rsidRPr="000857F0" w:rsidRDefault="00740144" w:rsidP="008A5B08">
            <w:pPr>
              <w:suppressAutoHyphens/>
              <w:spacing w:after="0" w:line="240" w:lineRule="auto"/>
              <w:rPr>
                <w:rFonts w:cs="Arial"/>
                <w:lang w:eastAsia="ar-SA"/>
              </w:rPr>
            </w:pPr>
            <w:r w:rsidRPr="000857F0">
              <w:rPr>
                <w:rFonts w:cs="Arial"/>
                <w:lang w:eastAsia="ar-SA"/>
              </w:rPr>
              <w:t>Mission Locale Bordeaux</w:t>
            </w:r>
          </w:p>
        </w:tc>
        <w:tc>
          <w:tcPr>
            <w:tcW w:w="1200" w:type="dxa"/>
            <w:tcBorders>
              <w:top w:val="single" w:sz="4" w:space="0" w:color="auto"/>
              <w:left w:val="nil"/>
              <w:bottom w:val="single" w:sz="4" w:space="0" w:color="auto"/>
              <w:right w:val="single" w:sz="4" w:space="0" w:color="auto"/>
            </w:tcBorders>
            <w:noWrap/>
            <w:vAlign w:val="bottom"/>
          </w:tcPr>
          <w:p w:rsidR="00740144" w:rsidRPr="000857F0" w:rsidRDefault="00740144" w:rsidP="008A5B08">
            <w:pPr>
              <w:suppressAutoHyphens/>
              <w:spacing w:after="0" w:line="240" w:lineRule="auto"/>
              <w:jc w:val="right"/>
              <w:rPr>
                <w:rFonts w:cs="Arial"/>
                <w:lang w:eastAsia="ar-SA"/>
              </w:rPr>
            </w:pPr>
            <w:r w:rsidRPr="000857F0">
              <w:rPr>
                <w:rFonts w:cs="Arial"/>
                <w:lang w:eastAsia="ar-SA"/>
              </w:rPr>
              <w:t>50</w:t>
            </w:r>
          </w:p>
        </w:tc>
      </w:tr>
      <w:tr w:rsidR="00740144" w:rsidRPr="000857F0">
        <w:trPr>
          <w:trHeight w:val="255"/>
        </w:trPr>
        <w:tc>
          <w:tcPr>
            <w:tcW w:w="4800" w:type="dxa"/>
            <w:tcBorders>
              <w:top w:val="single" w:sz="4" w:space="0" w:color="auto"/>
              <w:left w:val="single" w:sz="4" w:space="0" w:color="auto"/>
              <w:bottom w:val="single" w:sz="4" w:space="0" w:color="auto"/>
              <w:right w:val="single" w:sz="4" w:space="0" w:color="auto"/>
            </w:tcBorders>
            <w:noWrap/>
            <w:vAlign w:val="bottom"/>
          </w:tcPr>
          <w:p w:rsidR="00740144" w:rsidRPr="000857F0" w:rsidRDefault="00740144" w:rsidP="008A5B08">
            <w:pPr>
              <w:suppressAutoHyphens/>
              <w:spacing w:after="0" w:line="240" w:lineRule="auto"/>
              <w:rPr>
                <w:rFonts w:cs="Arial"/>
                <w:lang w:eastAsia="ar-SA"/>
              </w:rPr>
            </w:pPr>
            <w:r w:rsidRPr="000857F0">
              <w:rPr>
                <w:rFonts w:cs="Arial"/>
                <w:lang w:eastAsia="ar-SA"/>
              </w:rPr>
              <w:t>PLIE de Bordeaux</w:t>
            </w:r>
          </w:p>
        </w:tc>
        <w:tc>
          <w:tcPr>
            <w:tcW w:w="1200" w:type="dxa"/>
            <w:tcBorders>
              <w:top w:val="single" w:sz="4" w:space="0" w:color="auto"/>
              <w:left w:val="nil"/>
              <w:bottom w:val="single" w:sz="4" w:space="0" w:color="auto"/>
              <w:right w:val="single" w:sz="4" w:space="0" w:color="auto"/>
            </w:tcBorders>
            <w:noWrap/>
            <w:vAlign w:val="bottom"/>
          </w:tcPr>
          <w:p w:rsidR="00740144" w:rsidRPr="000857F0" w:rsidRDefault="00740144" w:rsidP="008A5B08">
            <w:pPr>
              <w:suppressAutoHyphens/>
              <w:spacing w:after="0" w:line="240" w:lineRule="auto"/>
              <w:jc w:val="right"/>
              <w:rPr>
                <w:rFonts w:cs="Arial"/>
                <w:lang w:eastAsia="ar-SA"/>
              </w:rPr>
            </w:pPr>
            <w:r w:rsidRPr="000857F0">
              <w:rPr>
                <w:rFonts w:cs="Arial"/>
                <w:lang w:eastAsia="ar-SA"/>
              </w:rPr>
              <w:t>88</w:t>
            </w:r>
          </w:p>
        </w:tc>
      </w:tr>
      <w:tr w:rsidR="00740144" w:rsidRPr="000857F0">
        <w:trPr>
          <w:trHeight w:val="255"/>
        </w:trPr>
        <w:tc>
          <w:tcPr>
            <w:tcW w:w="4800" w:type="dxa"/>
            <w:tcBorders>
              <w:top w:val="single" w:sz="4" w:space="0" w:color="auto"/>
              <w:left w:val="single" w:sz="4" w:space="0" w:color="auto"/>
              <w:bottom w:val="single" w:sz="4" w:space="0" w:color="auto"/>
              <w:right w:val="single" w:sz="4" w:space="0" w:color="auto"/>
            </w:tcBorders>
            <w:noWrap/>
            <w:vAlign w:val="bottom"/>
          </w:tcPr>
          <w:p w:rsidR="00740144" w:rsidRPr="000857F0" w:rsidRDefault="00740144" w:rsidP="008A5B08">
            <w:pPr>
              <w:suppressAutoHyphens/>
              <w:spacing w:after="0" w:line="240" w:lineRule="auto"/>
              <w:rPr>
                <w:rFonts w:cs="Arial"/>
                <w:lang w:eastAsia="ar-SA"/>
              </w:rPr>
            </w:pPr>
            <w:r w:rsidRPr="000857F0">
              <w:rPr>
                <w:rFonts w:cs="Arial"/>
                <w:lang w:eastAsia="ar-SA"/>
              </w:rPr>
              <w:t>Structures Insertion par l’Activité Economique</w:t>
            </w:r>
          </w:p>
          <w:p w:rsidR="00740144" w:rsidRPr="000857F0" w:rsidRDefault="00740144" w:rsidP="008A5B08">
            <w:pPr>
              <w:suppressAutoHyphens/>
              <w:spacing w:after="0" w:line="240" w:lineRule="auto"/>
              <w:rPr>
                <w:rFonts w:cs="Arial"/>
                <w:lang w:eastAsia="ar-SA"/>
              </w:rPr>
            </w:pPr>
            <w:r w:rsidRPr="000857F0">
              <w:rPr>
                <w:rFonts w:cs="Arial"/>
                <w:lang w:eastAsia="ar-SA"/>
              </w:rPr>
              <w:t>Pôle Emploi</w:t>
            </w:r>
          </w:p>
          <w:p w:rsidR="00740144" w:rsidRPr="000857F0" w:rsidRDefault="00740144" w:rsidP="008A5B08">
            <w:pPr>
              <w:suppressAutoHyphens/>
              <w:spacing w:after="0" w:line="240" w:lineRule="auto"/>
              <w:rPr>
                <w:rFonts w:cs="Arial"/>
                <w:lang w:eastAsia="ar-SA"/>
              </w:rPr>
            </w:pPr>
            <w:r w:rsidRPr="000857F0">
              <w:rPr>
                <w:rFonts w:cs="Arial"/>
                <w:lang w:eastAsia="ar-SA"/>
              </w:rPr>
              <w:t>Autres (PLIE CUB, Mission Locale CUB, etc.)</w:t>
            </w:r>
          </w:p>
        </w:tc>
        <w:tc>
          <w:tcPr>
            <w:tcW w:w="1200" w:type="dxa"/>
            <w:tcBorders>
              <w:top w:val="single" w:sz="4" w:space="0" w:color="auto"/>
              <w:left w:val="nil"/>
              <w:bottom w:val="single" w:sz="4" w:space="0" w:color="auto"/>
              <w:right w:val="single" w:sz="4" w:space="0" w:color="auto"/>
            </w:tcBorders>
            <w:noWrap/>
            <w:vAlign w:val="bottom"/>
          </w:tcPr>
          <w:p w:rsidR="00740144" w:rsidRPr="000857F0" w:rsidRDefault="00740144" w:rsidP="008A5B08">
            <w:pPr>
              <w:suppressAutoHyphens/>
              <w:spacing w:after="0" w:line="240" w:lineRule="auto"/>
              <w:jc w:val="right"/>
              <w:rPr>
                <w:rFonts w:cs="Arial"/>
                <w:lang w:eastAsia="ar-SA"/>
              </w:rPr>
            </w:pPr>
            <w:r w:rsidRPr="000857F0">
              <w:rPr>
                <w:rFonts w:cs="Arial"/>
                <w:lang w:eastAsia="ar-SA"/>
              </w:rPr>
              <w:t>411</w:t>
            </w:r>
          </w:p>
        </w:tc>
      </w:tr>
    </w:tbl>
    <w:p w:rsidR="00740144" w:rsidRDefault="00740144" w:rsidP="008A5B08">
      <w:pPr>
        <w:jc w:val="both"/>
        <w:rPr>
          <w:sz w:val="24"/>
          <w:szCs w:val="24"/>
        </w:rPr>
      </w:pPr>
    </w:p>
    <w:p w:rsidR="00740144" w:rsidRDefault="00740144" w:rsidP="008A5B08">
      <w:pPr>
        <w:jc w:val="both"/>
        <w:rPr>
          <w:sz w:val="24"/>
          <w:szCs w:val="24"/>
        </w:rPr>
      </w:pPr>
      <w:r w:rsidRPr="000D66E6">
        <w:rPr>
          <w:sz w:val="24"/>
          <w:szCs w:val="24"/>
        </w:rPr>
        <w:t>En 2012, 50 jeunes de la Mission locale de Bordeaux et 88 participants du PLIE de Bordeaux ont bénéficié d’un contrat de travail dans le cadre de la clause sociale animée par le PLIE de Bor</w:t>
      </w:r>
      <w:r>
        <w:rPr>
          <w:sz w:val="24"/>
          <w:szCs w:val="24"/>
        </w:rPr>
        <w:t>deaux.</w:t>
      </w:r>
    </w:p>
    <w:p w:rsidR="00740144" w:rsidRDefault="00740144">
      <w:pPr>
        <w:rPr>
          <w:sz w:val="24"/>
          <w:szCs w:val="24"/>
        </w:rPr>
      </w:pPr>
      <w:r>
        <w:rPr>
          <w:sz w:val="24"/>
          <w:szCs w:val="24"/>
        </w:rPr>
        <w:br w:type="page"/>
      </w:r>
    </w:p>
    <w:p w:rsidR="00740144" w:rsidRDefault="00771071">
      <w:r>
        <w:rPr>
          <w:noProof/>
          <w:lang w:eastAsia="fr-FR"/>
        </w:rPr>
        <w:drawing>
          <wp:inline distT="0" distB="0" distL="0" distR="0">
            <wp:extent cx="6035510" cy="698500"/>
            <wp:effectExtent l="73190" t="0" r="0" b="0"/>
            <wp:docPr id="35" name="Diagramme 384"/>
            <wp:cNvGraphicFramePr>
              <a:graphicFrameLocks xmlns:a="http://schemas.openxmlformats.org/drawingml/2006/main"/>
            </wp:cNvGraphicFramePr>
            <a:graphic xmlns:a="http://schemas.openxmlformats.org/drawingml/2006/main">
              <a:graphicData uri="http://schemas.openxmlformats.org/drawingml/2006/diagram">
                <a:relIds xmlns:dgm="http://schemas.openxmlformats.org/drawingml/2006/diagram" xmlns:r="http://schemas.openxmlformats.org/officeDocument/2006/relationships" r:dm="rId87" r:lo="rId88" r:qs="rId89" r:cs="rId90"/>
              </a:graphicData>
            </a:graphic>
          </wp:inline>
        </w:drawing>
      </w:r>
    </w:p>
    <w:p w:rsidR="00740144" w:rsidRPr="009211A5" w:rsidRDefault="00740144">
      <w:pPr>
        <w:rPr>
          <w:b/>
          <w:sz w:val="24"/>
          <w:szCs w:val="24"/>
        </w:rPr>
      </w:pPr>
      <w:r w:rsidRPr="009211A5">
        <w:rPr>
          <w:b/>
          <w:sz w:val="24"/>
          <w:szCs w:val="24"/>
        </w:rPr>
        <w:t>Analyse du portefeuille de 127 bénéficiaires de la clause ayant quitté le dispositif en 2012.</w:t>
      </w:r>
    </w:p>
    <w:p w:rsidR="00740144" w:rsidRDefault="00740144" w:rsidP="009211A5">
      <w:pPr>
        <w:jc w:val="both"/>
        <w:rPr>
          <w:sz w:val="24"/>
          <w:szCs w:val="24"/>
        </w:rPr>
      </w:pPr>
      <w:r>
        <w:rPr>
          <w:sz w:val="24"/>
          <w:szCs w:val="24"/>
        </w:rPr>
        <w:t xml:space="preserve">Cette analyse permet de mesurer l’impact de la clause sociale sur le retour à l’emploi du public, après une durée moyenne d’accompagnement de 10,5 mois par bénéficiaire en 2012 : </w:t>
      </w:r>
    </w:p>
    <w:p w:rsidR="00740144" w:rsidRPr="00D307CF" w:rsidRDefault="00740144" w:rsidP="009211A5">
      <w:pPr>
        <w:jc w:val="both"/>
        <w:rPr>
          <w:b/>
          <w:sz w:val="24"/>
          <w:szCs w:val="24"/>
        </w:rPr>
      </w:pPr>
      <w:r w:rsidRPr="00D307CF">
        <w:rPr>
          <w:b/>
          <w:sz w:val="24"/>
          <w:szCs w:val="24"/>
        </w:rPr>
        <w:t>- 71 personnes sont sorties vers un emploi durable et un emploi de transition soit 55,9%.</w:t>
      </w:r>
    </w:p>
    <w:p w:rsidR="00740144" w:rsidRDefault="00740144" w:rsidP="009211A5">
      <w:pPr>
        <w:jc w:val="both"/>
        <w:rPr>
          <w:sz w:val="24"/>
          <w:szCs w:val="24"/>
        </w:rPr>
      </w:pPr>
      <w:r>
        <w:rPr>
          <w:sz w:val="24"/>
          <w:szCs w:val="24"/>
        </w:rPr>
        <w:t xml:space="preserve">Dont 48% sont des sorties dites positives (CDI, CDD&gt;6mois, mission intérim&gt;6mois, formation qualifiante), 61 personnes concernées. </w:t>
      </w:r>
    </w:p>
    <w:p w:rsidR="00740144" w:rsidRDefault="00740144" w:rsidP="001B13DB">
      <w:pPr>
        <w:shd w:val="clear" w:color="auto" w:fill="FDE9D9"/>
        <w:jc w:val="both"/>
        <w:rPr>
          <w:sz w:val="24"/>
          <w:szCs w:val="24"/>
        </w:rPr>
      </w:pPr>
      <w:r>
        <w:rPr>
          <w:sz w:val="24"/>
          <w:szCs w:val="24"/>
        </w:rPr>
        <w:t>La part des CDI représente 39% de l’ensemble des sorties</w:t>
      </w:r>
    </w:p>
    <w:p w:rsidR="00740144" w:rsidRPr="001B13DB" w:rsidRDefault="00740144" w:rsidP="009211A5">
      <w:pPr>
        <w:jc w:val="both"/>
        <w:rPr>
          <w:b/>
          <w:sz w:val="24"/>
          <w:szCs w:val="24"/>
        </w:rPr>
      </w:pPr>
      <w:r w:rsidRPr="001B13DB">
        <w:rPr>
          <w:b/>
          <w:sz w:val="24"/>
          <w:szCs w:val="24"/>
        </w:rPr>
        <w:t>- 56 personnes ont quitté le dispositif pour une sortie autre : abandon, réorientation vers prescripteurs ou réorientation professionnelle soit 44,1%</w:t>
      </w:r>
    </w:p>
    <w:p w:rsidR="00740144" w:rsidRDefault="00771071">
      <w:pPr>
        <w:rPr>
          <w:sz w:val="24"/>
          <w:szCs w:val="24"/>
        </w:rPr>
      </w:pPr>
      <w:r>
        <w:rPr>
          <w:noProof/>
          <w:lang w:eastAsia="fr-FR"/>
        </w:rPr>
        <w:drawing>
          <wp:inline distT="0" distB="0" distL="0" distR="0">
            <wp:extent cx="5765800" cy="3517900"/>
            <wp:effectExtent l="0" t="0" r="0" b="0"/>
            <wp:docPr id="36" name="Graphique 2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740144" w:rsidRDefault="00740144">
      <w:pPr>
        <w:rPr>
          <w:sz w:val="24"/>
          <w:szCs w:val="24"/>
        </w:rPr>
      </w:pPr>
      <w:r>
        <w:rPr>
          <w:sz w:val="24"/>
          <w:szCs w:val="24"/>
        </w:rPr>
        <w:br w:type="page"/>
      </w:r>
    </w:p>
    <w:p w:rsidR="00740144" w:rsidRPr="007C6E61" w:rsidRDefault="00740144">
      <w:pPr>
        <w:rPr>
          <w:b/>
          <w:color w:val="E36C0A"/>
          <w:sz w:val="24"/>
          <w:szCs w:val="24"/>
          <w:u w:val="single"/>
        </w:rPr>
      </w:pPr>
      <w:r w:rsidRPr="007C6E61">
        <w:rPr>
          <w:b/>
          <w:color w:val="E36C0A"/>
          <w:sz w:val="24"/>
          <w:szCs w:val="24"/>
          <w:u w:val="single"/>
        </w:rPr>
        <w:t xml:space="preserve">Analyse des sorties : </w:t>
      </w:r>
    </w:p>
    <w:p w:rsidR="00740144" w:rsidRPr="00957876" w:rsidRDefault="00740144" w:rsidP="00515F5C">
      <w:pPr>
        <w:rPr>
          <w:b/>
          <w:sz w:val="24"/>
          <w:szCs w:val="24"/>
        </w:rPr>
      </w:pPr>
    </w:p>
    <w:tbl>
      <w:tblPr>
        <w:tblW w:w="5680" w:type="dxa"/>
        <w:tblBorders>
          <w:top w:val="single" w:sz="8" w:space="0" w:color="F9B074"/>
          <w:left w:val="single" w:sz="8" w:space="0" w:color="F9B074"/>
          <w:bottom w:val="single" w:sz="8" w:space="0" w:color="F9B074"/>
          <w:right w:val="single" w:sz="8" w:space="0" w:color="F9B074"/>
          <w:insideH w:val="single" w:sz="8" w:space="0" w:color="F9B074"/>
        </w:tblBorders>
        <w:tblLook w:val="00A0"/>
      </w:tblPr>
      <w:tblGrid>
        <w:gridCol w:w="3116"/>
        <w:gridCol w:w="2564"/>
      </w:tblGrid>
      <w:tr w:rsidR="00740144" w:rsidRPr="000857F0">
        <w:trPr>
          <w:trHeight w:val="255"/>
        </w:trPr>
        <w:tc>
          <w:tcPr>
            <w:tcW w:w="3700" w:type="dxa"/>
            <w:tcBorders>
              <w:right w:val="nil"/>
            </w:tcBorders>
            <w:shd w:val="clear" w:color="auto" w:fill="F79646"/>
          </w:tcPr>
          <w:p w:rsidR="00740144" w:rsidRPr="000857F0" w:rsidRDefault="00740144" w:rsidP="000857F0">
            <w:pPr>
              <w:spacing w:after="0" w:line="240" w:lineRule="auto"/>
              <w:jc w:val="center"/>
              <w:rPr>
                <w:rFonts w:cs="Arial"/>
                <w:b/>
                <w:bCs/>
                <w:color w:val="000000"/>
                <w:lang w:eastAsia="fr-FR"/>
              </w:rPr>
            </w:pPr>
            <w:r w:rsidRPr="000857F0">
              <w:rPr>
                <w:rFonts w:cs="Arial"/>
                <w:b/>
                <w:bCs/>
                <w:color w:val="000000"/>
                <w:lang w:eastAsia="fr-FR"/>
              </w:rPr>
              <w:t>Sortie du dispositif</w:t>
            </w:r>
          </w:p>
        </w:tc>
        <w:tc>
          <w:tcPr>
            <w:tcW w:w="1980" w:type="dxa"/>
            <w:tcBorders>
              <w:left w:val="nil"/>
            </w:tcBorders>
            <w:shd w:val="clear" w:color="auto" w:fill="F79646"/>
          </w:tcPr>
          <w:p w:rsidR="00740144" w:rsidRPr="000857F0" w:rsidRDefault="00740144" w:rsidP="000857F0">
            <w:pPr>
              <w:spacing w:after="0" w:line="240" w:lineRule="auto"/>
              <w:jc w:val="center"/>
              <w:rPr>
                <w:rFonts w:cs="Arial"/>
                <w:b/>
                <w:bCs/>
                <w:color w:val="000000"/>
                <w:lang w:eastAsia="fr-FR"/>
              </w:rPr>
            </w:pPr>
            <w:r w:rsidRPr="000857F0">
              <w:rPr>
                <w:rFonts w:cs="Arial"/>
                <w:b/>
                <w:bCs/>
                <w:color w:val="000000"/>
                <w:lang w:eastAsia="fr-FR"/>
              </w:rPr>
              <w:t>Nb de sorties</w:t>
            </w:r>
          </w:p>
        </w:tc>
      </w:tr>
      <w:tr w:rsidR="00740144" w:rsidRPr="000857F0">
        <w:trPr>
          <w:trHeight w:val="510"/>
        </w:trPr>
        <w:tc>
          <w:tcPr>
            <w:tcW w:w="3700" w:type="dxa"/>
            <w:tcBorders>
              <w:right w:val="nil"/>
            </w:tcBorders>
            <w:shd w:val="clear" w:color="auto" w:fill="FDE4D0"/>
          </w:tcPr>
          <w:p w:rsidR="00740144" w:rsidRPr="000857F0" w:rsidRDefault="00740144" w:rsidP="000857F0">
            <w:pPr>
              <w:spacing w:after="0" w:line="240" w:lineRule="auto"/>
              <w:rPr>
                <w:rFonts w:cs="Arial"/>
                <w:b/>
                <w:bCs/>
                <w:color w:val="000000"/>
                <w:lang w:eastAsia="fr-FR"/>
              </w:rPr>
            </w:pPr>
            <w:r w:rsidRPr="000857F0">
              <w:rPr>
                <w:rFonts w:cs="Arial"/>
                <w:b/>
                <w:bCs/>
                <w:color w:val="000000"/>
                <w:lang w:eastAsia="fr-FR"/>
              </w:rPr>
              <w:t>Abandon, déménagement, maladie, sans suite</w:t>
            </w:r>
          </w:p>
        </w:tc>
        <w:tc>
          <w:tcPr>
            <w:tcW w:w="1980" w:type="dxa"/>
            <w:tcBorders>
              <w:left w:val="nil"/>
            </w:tcBorders>
            <w:shd w:val="clear" w:color="auto" w:fill="FDE4D0"/>
          </w:tcPr>
          <w:p w:rsidR="00740144" w:rsidRPr="000857F0" w:rsidRDefault="00740144" w:rsidP="000857F0">
            <w:pPr>
              <w:spacing w:after="0" w:line="240" w:lineRule="auto"/>
              <w:jc w:val="right"/>
              <w:rPr>
                <w:rFonts w:cs="Arial"/>
                <w:color w:val="000000"/>
                <w:lang w:eastAsia="fr-FR"/>
              </w:rPr>
            </w:pPr>
            <w:r w:rsidRPr="000857F0">
              <w:rPr>
                <w:rFonts w:cs="Arial"/>
                <w:color w:val="000000"/>
                <w:lang w:eastAsia="fr-FR"/>
              </w:rPr>
              <w:t>19</w:t>
            </w:r>
          </w:p>
        </w:tc>
      </w:tr>
      <w:tr w:rsidR="00740144" w:rsidRPr="000857F0">
        <w:trPr>
          <w:trHeight w:val="255"/>
        </w:trPr>
        <w:tc>
          <w:tcPr>
            <w:tcW w:w="3700" w:type="dxa"/>
            <w:tcBorders>
              <w:right w:val="nil"/>
            </w:tcBorders>
          </w:tcPr>
          <w:p w:rsidR="00740144" w:rsidRPr="000857F0" w:rsidRDefault="00740144" w:rsidP="000857F0">
            <w:pPr>
              <w:spacing w:after="0" w:line="240" w:lineRule="auto"/>
              <w:rPr>
                <w:rFonts w:cs="Arial"/>
                <w:b/>
                <w:bCs/>
                <w:color w:val="000000"/>
                <w:lang w:eastAsia="fr-FR"/>
              </w:rPr>
            </w:pPr>
            <w:r w:rsidRPr="000857F0">
              <w:rPr>
                <w:rFonts w:cs="Arial"/>
                <w:b/>
                <w:bCs/>
                <w:color w:val="000000"/>
                <w:lang w:eastAsia="fr-FR"/>
              </w:rPr>
              <w:t>Réorientation professionnelle</w:t>
            </w:r>
          </w:p>
        </w:tc>
        <w:tc>
          <w:tcPr>
            <w:tcW w:w="1980" w:type="dxa"/>
            <w:tcBorders>
              <w:left w:val="nil"/>
            </w:tcBorders>
          </w:tcPr>
          <w:p w:rsidR="00740144" w:rsidRPr="000857F0" w:rsidRDefault="00740144" w:rsidP="000857F0">
            <w:pPr>
              <w:spacing w:after="0" w:line="240" w:lineRule="auto"/>
              <w:jc w:val="right"/>
              <w:rPr>
                <w:rFonts w:cs="Arial"/>
                <w:color w:val="000000"/>
                <w:lang w:eastAsia="fr-FR"/>
              </w:rPr>
            </w:pPr>
            <w:r w:rsidRPr="000857F0">
              <w:rPr>
                <w:rFonts w:cs="Arial"/>
                <w:color w:val="000000"/>
                <w:lang w:eastAsia="fr-FR"/>
              </w:rPr>
              <w:t>5</w:t>
            </w:r>
          </w:p>
        </w:tc>
      </w:tr>
      <w:tr w:rsidR="00740144" w:rsidRPr="000857F0">
        <w:trPr>
          <w:trHeight w:val="255"/>
        </w:trPr>
        <w:tc>
          <w:tcPr>
            <w:tcW w:w="3700" w:type="dxa"/>
            <w:tcBorders>
              <w:right w:val="nil"/>
            </w:tcBorders>
            <w:shd w:val="clear" w:color="auto" w:fill="FDE4D0"/>
          </w:tcPr>
          <w:p w:rsidR="00740144" w:rsidRPr="000857F0" w:rsidRDefault="00740144" w:rsidP="000857F0">
            <w:pPr>
              <w:spacing w:after="0" w:line="240" w:lineRule="auto"/>
              <w:rPr>
                <w:rFonts w:cs="Arial"/>
                <w:b/>
                <w:bCs/>
                <w:color w:val="000000"/>
                <w:lang w:eastAsia="fr-FR"/>
              </w:rPr>
            </w:pPr>
            <w:r w:rsidRPr="000857F0">
              <w:rPr>
                <w:rFonts w:cs="Arial"/>
                <w:b/>
                <w:bCs/>
                <w:color w:val="000000"/>
                <w:lang w:eastAsia="fr-FR"/>
              </w:rPr>
              <w:t>Réorientation vers le prescripteur</w:t>
            </w:r>
          </w:p>
        </w:tc>
        <w:tc>
          <w:tcPr>
            <w:tcW w:w="1980" w:type="dxa"/>
            <w:tcBorders>
              <w:left w:val="nil"/>
            </w:tcBorders>
            <w:shd w:val="clear" w:color="auto" w:fill="FDE4D0"/>
          </w:tcPr>
          <w:p w:rsidR="00740144" w:rsidRPr="000857F0" w:rsidRDefault="00740144" w:rsidP="000857F0">
            <w:pPr>
              <w:spacing w:after="0" w:line="240" w:lineRule="auto"/>
              <w:jc w:val="right"/>
              <w:rPr>
                <w:rFonts w:cs="Arial"/>
                <w:color w:val="000000"/>
                <w:lang w:eastAsia="fr-FR"/>
              </w:rPr>
            </w:pPr>
            <w:r w:rsidRPr="000857F0">
              <w:rPr>
                <w:rFonts w:cs="Arial"/>
                <w:color w:val="000000"/>
                <w:lang w:eastAsia="fr-FR"/>
              </w:rPr>
              <w:t>32</w:t>
            </w:r>
          </w:p>
        </w:tc>
      </w:tr>
      <w:tr w:rsidR="00740144" w:rsidRPr="000857F0">
        <w:trPr>
          <w:trHeight w:val="255"/>
        </w:trPr>
        <w:tc>
          <w:tcPr>
            <w:tcW w:w="3700" w:type="dxa"/>
            <w:tcBorders>
              <w:right w:val="nil"/>
            </w:tcBorders>
          </w:tcPr>
          <w:p w:rsidR="00740144" w:rsidRPr="000857F0" w:rsidRDefault="00740144" w:rsidP="000857F0">
            <w:pPr>
              <w:spacing w:after="0" w:line="240" w:lineRule="auto"/>
              <w:rPr>
                <w:rFonts w:cs="Arial"/>
                <w:b/>
                <w:bCs/>
                <w:color w:val="000000"/>
                <w:lang w:eastAsia="fr-FR"/>
              </w:rPr>
            </w:pPr>
            <w:r w:rsidRPr="000857F0">
              <w:rPr>
                <w:rFonts w:cs="Arial"/>
                <w:b/>
                <w:bCs/>
                <w:color w:val="000000"/>
                <w:lang w:eastAsia="fr-FR"/>
              </w:rPr>
              <w:t>CDD &gt; 6 mois</w:t>
            </w:r>
          </w:p>
        </w:tc>
        <w:tc>
          <w:tcPr>
            <w:tcW w:w="1980" w:type="dxa"/>
            <w:tcBorders>
              <w:left w:val="nil"/>
            </w:tcBorders>
          </w:tcPr>
          <w:p w:rsidR="00740144" w:rsidRPr="000857F0" w:rsidRDefault="00740144" w:rsidP="000857F0">
            <w:pPr>
              <w:spacing w:after="0" w:line="240" w:lineRule="auto"/>
              <w:jc w:val="right"/>
              <w:rPr>
                <w:rFonts w:cs="Arial"/>
                <w:color w:val="000000"/>
                <w:lang w:eastAsia="fr-FR"/>
              </w:rPr>
            </w:pPr>
            <w:r w:rsidRPr="000857F0">
              <w:rPr>
                <w:rFonts w:cs="Arial"/>
                <w:color w:val="000000"/>
                <w:lang w:eastAsia="fr-FR"/>
              </w:rPr>
              <w:t>7</w:t>
            </w:r>
          </w:p>
        </w:tc>
      </w:tr>
      <w:tr w:rsidR="00740144" w:rsidRPr="000857F0">
        <w:trPr>
          <w:trHeight w:val="255"/>
        </w:trPr>
        <w:tc>
          <w:tcPr>
            <w:tcW w:w="3700" w:type="dxa"/>
            <w:tcBorders>
              <w:right w:val="nil"/>
            </w:tcBorders>
            <w:shd w:val="clear" w:color="auto" w:fill="FDE4D0"/>
          </w:tcPr>
          <w:p w:rsidR="00740144" w:rsidRPr="000857F0" w:rsidRDefault="00740144" w:rsidP="000857F0">
            <w:pPr>
              <w:spacing w:after="0" w:line="240" w:lineRule="auto"/>
              <w:rPr>
                <w:rFonts w:cs="Arial"/>
                <w:b/>
                <w:bCs/>
                <w:color w:val="000000"/>
                <w:lang w:eastAsia="fr-FR"/>
              </w:rPr>
            </w:pPr>
            <w:r w:rsidRPr="000857F0">
              <w:rPr>
                <w:rFonts w:cs="Arial"/>
                <w:b/>
                <w:bCs/>
                <w:color w:val="000000"/>
                <w:lang w:eastAsia="fr-FR"/>
              </w:rPr>
              <w:t>CDD &lt; 6 mois</w:t>
            </w:r>
          </w:p>
        </w:tc>
        <w:tc>
          <w:tcPr>
            <w:tcW w:w="1980" w:type="dxa"/>
            <w:tcBorders>
              <w:left w:val="nil"/>
            </w:tcBorders>
            <w:shd w:val="clear" w:color="auto" w:fill="FDE4D0"/>
          </w:tcPr>
          <w:p w:rsidR="00740144" w:rsidRPr="000857F0" w:rsidRDefault="00740144" w:rsidP="000857F0">
            <w:pPr>
              <w:spacing w:after="0" w:line="240" w:lineRule="auto"/>
              <w:jc w:val="right"/>
              <w:rPr>
                <w:rFonts w:cs="Arial"/>
                <w:color w:val="000000"/>
                <w:lang w:eastAsia="fr-FR"/>
              </w:rPr>
            </w:pPr>
            <w:r w:rsidRPr="000857F0">
              <w:rPr>
                <w:rFonts w:cs="Arial"/>
                <w:color w:val="000000"/>
                <w:lang w:eastAsia="fr-FR"/>
              </w:rPr>
              <w:t>1</w:t>
            </w:r>
          </w:p>
        </w:tc>
      </w:tr>
      <w:tr w:rsidR="00740144" w:rsidRPr="000857F0">
        <w:trPr>
          <w:trHeight w:val="255"/>
        </w:trPr>
        <w:tc>
          <w:tcPr>
            <w:tcW w:w="3700" w:type="dxa"/>
            <w:tcBorders>
              <w:right w:val="nil"/>
            </w:tcBorders>
          </w:tcPr>
          <w:p w:rsidR="00740144" w:rsidRPr="000857F0" w:rsidRDefault="00740144" w:rsidP="000857F0">
            <w:pPr>
              <w:spacing w:after="0" w:line="240" w:lineRule="auto"/>
              <w:rPr>
                <w:rFonts w:cs="Arial"/>
                <w:b/>
                <w:bCs/>
                <w:color w:val="000000"/>
                <w:lang w:eastAsia="fr-FR"/>
              </w:rPr>
            </w:pPr>
            <w:r w:rsidRPr="000857F0">
              <w:rPr>
                <w:rFonts w:cs="Arial"/>
                <w:b/>
                <w:bCs/>
                <w:color w:val="000000"/>
                <w:lang w:eastAsia="fr-FR"/>
              </w:rPr>
              <w:t>CDI</w:t>
            </w:r>
          </w:p>
        </w:tc>
        <w:tc>
          <w:tcPr>
            <w:tcW w:w="1980" w:type="dxa"/>
            <w:tcBorders>
              <w:left w:val="nil"/>
            </w:tcBorders>
          </w:tcPr>
          <w:p w:rsidR="00740144" w:rsidRPr="000857F0" w:rsidRDefault="00740144" w:rsidP="000857F0">
            <w:pPr>
              <w:spacing w:after="0" w:line="240" w:lineRule="auto"/>
              <w:ind w:left="2124"/>
              <w:jc w:val="center"/>
              <w:rPr>
                <w:rFonts w:cs="Arial"/>
                <w:color w:val="000000"/>
                <w:lang w:eastAsia="fr-FR"/>
              </w:rPr>
            </w:pPr>
            <w:r w:rsidRPr="000857F0">
              <w:rPr>
                <w:rFonts w:cs="Arial"/>
                <w:color w:val="000000"/>
                <w:lang w:eastAsia="fr-FR"/>
              </w:rPr>
              <w:t>49</w:t>
            </w:r>
          </w:p>
        </w:tc>
      </w:tr>
      <w:tr w:rsidR="00740144" w:rsidRPr="000857F0">
        <w:trPr>
          <w:trHeight w:val="255"/>
        </w:trPr>
        <w:tc>
          <w:tcPr>
            <w:tcW w:w="3700" w:type="dxa"/>
            <w:tcBorders>
              <w:right w:val="nil"/>
            </w:tcBorders>
            <w:shd w:val="clear" w:color="auto" w:fill="FDE4D0"/>
          </w:tcPr>
          <w:p w:rsidR="00740144" w:rsidRPr="000857F0" w:rsidRDefault="00740144" w:rsidP="000857F0">
            <w:pPr>
              <w:spacing w:after="0" w:line="240" w:lineRule="auto"/>
              <w:rPr>
                <w:rFonts w:cs="Arial"/>
                <w:b/>
                <w:bCs/>
                <w:color w:val="000000"/>
                <w:lang w:eastAsia="fr-FR"/>
              </w:rPr>
            </w:pPr>
            <w:r w:rsidRPr="000857F0">
              <w:rPr>
                <w:rFonts w:cs="Arial"/>
                <w:b/>
                <w:bCs/>
                <w:color w:val="000000"/>
                <w:lang w:eastAsia="fr-FR"/>
              </w:rPr>
              <w:t>Formation qualifiante</w:t>
            </w:r>
          </w:p>
        </w:tc>
        <w:tc>
          <w:tcPr>
            <w:tcW w:w="1980" w:type="dxa"/>
            <w:tcBorders>
              <w:left w:val="nil"/>
            </w:tcBorders>
            <w:shd w:val="clear" w:color="auto" w:fill="FDE4D0"/>
          </w:tcPr>
          <w:p w:rsidR="00740144" w:rsidRPr="000857F0" w:rsidRDefault="00740144" w:rsidP="000857F0">
            <w:pPr>
              <w:spacing w:after="0" w:line="240" w:lineRule="auto"/>
              <w:jc w:val="right"/>
              <w:rPr>
                <w:rFonts w:cs="Arial"/>
                <w:color w:val="000000"/>
                <w:lang w:eastAsia="fr-FR"/>
              </w:rPr>
            </w:pPr>
            <w:r w:rsidRPr="000857F0">
              <w:rPr>
                <w:rFonts w:cs="Arial"/>
                <w:color w:val="000000"/>
                <w:lang w:eastAsia="fr-FR"/>
              </w:rPr>
              <w:t>4</w:t>
            </w:r>
          </w:p>
        </w:tc>
      </w:tr>
      <w:tr w:rsidR="00740144" w:rsidRPr="000857F0">
        <w:trPr>
          <w:trHeight w:val="255"/>
        </w:trPr>
        <w:tc>
          <w:tcPr>
            <w:tcW w:w="3700" w:type="dxa"/>
            <w:tcBorders>
              <w:right w:val="nil"/>
            </w:tcBorders>
          </w:tcPr>
          <w:p w:rsidR="00740144" w:rsidRPr="000857F0" w:rsidRDefault="00740144" w:rsidP="000857F0">
            <w:pPr>
              <w:spacing w:after="0" w:line="240" w:lineRule="auto"/>
              <w:rPr>
                <w:rFonts w:cs="Arial"/>
                <w:b/>
                <w:bCs/>
                <w:color w:val="000000"/>
                <w:lang w:eastAsia="fr-FR"/>
              </w:rPr>
            </w:pPr>
            <w:r w:rsidRPr="000857F0">
              <w:rPr>
                <w:rFonts w:cs="Arial"/>
                <w:b/>
                <w:bCs/>
                <w:color w:val="000000"/>
                <w:lang w:eastAsia="fr-FR"/>
              </w:rPr>
              <w:t>Intérim</w:t>
            </w:r>
          </w:p>
        </w:tc>
        <w:tc>
          <w:tcPr>
            <w:tcW w:w="1980" w:type="dxa"/>
            <w:tcBorders>
              <w:left w:val="nil"/>
            </w:tcBorders>
          </w:tcPr>
          <w:p w:rsidR="00740144" w:rsidRPr="000857F0" w:rsidRDefault="00740144" w:rsidP="000857F0">
            <w:pPr>
              <w:spacing w:after="0" w:line="240" w:lineRule="auto"/>
              <w:jc w:val="right"/>
              <w:rPr>
                <w:rFonts w:cs="Arial"/>
                <w:color w:val="000000"/>
                <w:lang w:eastAsia="fr-FR"/>
              </w:rPr>
            </w:pPr>
            <w:r w:rsidRPr="000857F0">
              <w:rPr>
                <w:rFonts w:cs="Arial"/>
                <w:color w:val="000000"/>
                <w:lang w:eastAsia="fr-FR"/>
              </w:rPr>
              <w:t>9</w:t>
            </w:r>
          </w:p>
        </w:tc>
      </w:tr>
      <w:tr w:rsidR="00740144" w:rsidRPr="000857F0">
        <w:trPr>
          <w:trHeight w:val="255"/>
        </w:trPr>
        <w:tc>
          <w:tcPr>
            <w:tcW w:w="3700" w:type="dxa"/>
            <w:tcBorders>
              <w:right w:val="nil"/>
            </w:tcBorders>
            <w:shd w:val="clear" w:color="auto" w:fill="FDE4D0"/>
          </w:tcPr>
          <w:p w:rsidR="00740144" w:rsidRPr="000857F0" w:rsidRDefault="00740144" w:rsidP="000857F0">
            <w:pPr>
              <w:spacing w:after="0" w:line="240" w:lineRule="auto"/>
              <w:rPr>
                <w:rFonts w:cs="Arial"/>
                <w:b/>
                <w:bCs/>
                <w:color w:val="000000"/>
                <w:lang w:eastAsia="fr-FR"/>
              </w:rPr>
            </w:pPr>
            <w:r w:rsidRPr="000857F0">
              <w:rPr>
                <w:rFonts w:cs="Arial"/>
                <w:b/>
                <w:bCs/>
                <w:color w:val="000000"/>
                <w:lang w:eastAsia="fr-FR"/>
              </w:rPr>
              <w:t>Intérim &gt; 6 mois</w:t>
            </w:r>
          </w:p>
        </w:tc>
        <w:tc>
          <w:tcPr>
            <w:tcW w:w="1980" w:type="dxa"/>
            <w:tcBorders>
              <w:left w:val="nil"/>
            </w:tcBorders>
            <w:shd w:val="clear" w:color="auto" w:fill="FDE4D0"/>
          </w:tcPr>
          <w:p w:rsidR="00740144" w:rsidRPr="000857F0" w:rsidRDefault="00740144" w:rsidP="000857F0">
            <w:pPr>
              <w:spacing w:after="0" w:line="240" w:lineRule="auto"/>
              <w:jc w:val="right"/>
              <w:rPr>
                <w:rFonts w:cs="Arial"/>
                <w:color w:val="000000"/>
                <w:lang w:eastAsia="fr-FR"/>
              </w:rPr>
            </w:pPr>
            <w:r w:rsidRPr="000857F0">
              <w:rPr>
                <w:rFonts w:cs="Arial"/>
                <w:color w:val="000000"/>
                <w:lang w:eastAsia="fr-FR"/>
              </w:rPr>
              <w:t>1</w:t>
            </w:r>
          </w:p>
        </w:tc>
      </w:tr>
      <w:tr w:rsidR="00740144" w:rsidRPr="000857F0">
        <w:trPr>
          <w:trHeight w:val="270"/>
        </w:trPr>
        <w:tc>
          <w:tcPr>
            <w:tcW w:w="3700" w:type="dxa"/>
            <w:tcBorders>
              <w:right w:val="nil"/>
            </w:tcBorders>
          </w:tcPr>
          <w:p w:rsidR="00740144" w:rsidRPr="000857F0" w:rsidRDefault="00740144" w:rsidP="000857F0">
            <w:pPr>
              <w:spacing w:after="0" w:line="240" w:lineRule="auto"/>
              <w:rPr>
                <w:rFonts w:cs="Arial"/>
                <w:b/>
                <w:bCs/>
                <w:color w:val="000000"/>
                <w:lang w:eastAsia="fr-FR"/>
              </w:rPr>
            </w:pPr>
            <w:r w:rsidRPr="000857F0">
              <w:rPr>
                <w:rFonts w:cs="Arial"/>
                <w:b/>
                <w:bCs/>
                <w:color w:val="000000"/>
                <w:lang w:eastAsia="fr-FR"/>
              </w:rPr>
              <w:t>Total</w:t>
            </w:r>
          </w:p>
        </w:tc>
        <w:tc>
          <w:tcPr>
            <w:tcW w:w="1980" w:type="dxa"/>
            <w:tcBorders>
              <w:left w:val="nil"/>
            </w:tcBorders>
          </w:tcPr>
          <w:p w:rsidR="00740144" w:rsidRPr="000857F0" w:rsidRDefault="00740144" w:rsidP="000857F0">
            <w:pPr>
              <w:spacing w:after="0" w:line="240" w:lineRule="auto"/>
              <w:jc w:val="right"/>
              <w:rPr>
                <w:rFonts w:cs="Arial"/>
                <w:b/>
                <w:bCs/>
                <w:color w:val="000000"/>
                <w:lang w:eastAsia="fr-FR"/>
              </w:rPr>
            </w:pPr>
            <w:r w:rsidRPr="000857F0">
              <w:rPr>
                <w:rFonts w:cs="Arial"/>
                <w:b/>
                <w:bCs/>
                <w:color w:val="000000"/>
                <w:lang w:eastAsia="fr-FR"/>
              </w:rPr>
              <w:t>127,00</w:t>
            </w:r>
          </w:p>
        </w:tc>
      </w:tr>
    </w:tbl>
    <w:p w:rsidR="00740144" w:rsidRDefault="00740144">
      <w:pPr>
        <w:rPr>
          <w:b/>
          <w:sz w:val="24"/>
          <w:szCs w:val="24"/>
        </w:rPr>
      </w:pPr>
    </w:p>
    <w:p w:rsidR="00740144" w:rsidRDefault="00771071" w:rsidP="00515F5C">
      <w:pPr>
        <w:jc w:val="center"/>
      </w:pPr>
      <w:r>
        <w:rPr>
          <w:noProof/>
          <w:lang w:eastAsia="fr-FR"/>
        </w:rPr>
        <w:drawing>
          <wp:inline distT="0" distB="0" distL="0" distR="0">
            <wp:extent cx="5753100" cy="4648200"/>
            <wp:effectExtent l="0" t="0" r="0" b="0"/>
            <wp:docPr id="37" name="Graphique 2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740144" w:rsidRDefault="00740144" w:rsidP="00AC7954">
      <w:pPr>
        <w:rPr>
          <w:sz w:val="24"/>
          <w:szCs w:val="24"/>
        </w:rPr>
      </w:pPr>
      <w:r w:rsidRPr="0076359B">
        <w:rPr>
          <w:sz w:val="24"/>
          <w:szCs w:val="24"/>
        </w:rPr>
        <w:t>Les clauses sociales jouent un véritable levier auprès des publics relevant de l’insertion et joue un vrai rôle d’impulsion d’une dynamique de parcours vers l’emploi.</w:t>
      </w:r>
    </w:p>
    <w:p w:rsidR="00740144" w:rsidRDefault="00771071" w:rsidP="00AC7954">
      <w:r w:rsidRPr="007C4A7C">
        <w:rPr>
          <w:b/>
        </w:rPr>
        <w:pict>
          <v:shape id="_x0000_i1062" type="#_x0000_t136" style="width:26pt;height:32pt" fillcolor="#548dd4" strokecolor="white">
            <v:shadow on="t" color="white" offset="4pt,3pt" offset2="4pt,2pt"/>
            <o:extrusion v:ext="view" specularity="80000f" backdepth="15pt" color="white" rotationangle=",15" viewpoint="0,0" viewpointorigin="0,0" skewangle="0" skewamt="0" lightposition="-50000,-50000" lightposition2="50000" type="perspective"/>
            <v:textpath style="font-family:&quot;Franklin Gothic Heavy&quot;;font-size:28pt;font-weight:bold;v-text-kern:t" trim="t" fitpath="t" string="5"/>
          </v:shape>
        </w:pict>
      </w:r>
      <w:r>
        <w:rPr>
          <w:noProof/>
          <w:lang w:eastAsia="fr-FR"/>
        </w:rPr>
        <w:drawing>
          <wp:inline distT="0" distB="0" distL="0" distR="0">
            <wp:extent cx="6070600" cy="822198"/>
            <wp:effectExtent l="0" t="12192" r="0" b="3810"/>
            <wp:docPr id="39" name="Diagramme 9"/>
            <wp:cNvGraphicFramePr>
              <a:graphicFrameLocks xmlns:a="http://schemas.openxmlformats.org/drawingml/2006/main"/>
            </wp:cNvGraphicFramePr>
            <a:graphic xmlns:a="http://schemas.openxmlformats.org/drawingml/2006/main">
              <a:graphicData uri="http://schemas.openxmlformats.org/drawingml/2006/diagram">
                <a:relIds xmlns:dgm="http://schemas.openxmlformats.org/drawingml/2006/diagram" xmlns:r="http://schemas.openxmlformats.org/officeDocument/2006/relationships" r:dm="rId94" r:lo="rId95" r:qs="rId96" r:cs="rId97"/>
              </a:graphicData>
            </a:graphic>
          </wp:inline>
        </w:drawing>
      </w:r>
    </w:p>
    <w:p w:rsidR="00740144" w:rsidRPr="008631D1" w:rsidRDefault="00740144" w:rsidP="00AC7954">
      <w:pPr>
        <w:pStyle w:val="Corpsdetexte21"/>
        <w:jc w:val="both"/>
        <w:rPr>
          <w:rFonts w:ascii="Franklin Gothic Book" w:hAnsi="Franklin Gothic Book"/>
          <w:color w:val="333333"/>
          <w:sz w:val="4"/>
          <w:szCs w:val="4"/>
          <w:u w:val="none"/>
        </w:rPr>
      </w:pPr>
    </w:p>
    <w:p w:rsidR="00740144" w:rsidRDefault="00771071">
      <w:r>
        <w:rPr>
          <w:noProof/>
          <w:lang w:eastAsia="fr-FR"/>
        </w:rPr>
        <w:drawing>
          <wp:inline distT="0" distB="0" distL="0" distR="0">
            <wp:extent cx="5886697" cy="711200"/>
            <wp:effectExtent l="6103" t="0" r="0" b="0"/>
            <wp:docPr id="40" name="Diagramme 12"/>
            <wp:cNvGraphicFramePr>
              <a:graphicFrameLocks xmlns:a="http://schemas.openxmlformats.org/drawingml/2006/main"/>
            </wp:cNvGraphicFramePr>
            <a:graphic xmlns:a="http://schemas.openxmlformats.org/drawingml/2006/main">
              <a:graphicData uri="http://schemas.openxmlformats.org/drawingml/2006/diagram">
                <a:relIds xmlns:dgm="http://schemas.openxmlformats.org/drawingml/2006/diagram" xmlns:r="http://schemas.openxmlformats.org/officeDocument/2006/relationships" r:dm="rId99" r:lo="rId100" r:qs="rId101" r:cs="rId102"/>
              </a:graphicData>
            </a:graphic>
          </wp:inline>
        </w:drawing>
      </w:r>
    </w:p>
    <w:p w:rsidR="00740144" w:rsidRPr="0076359B" w:rsidRDefault="00740144" w:rsidP="00700051">
      <w:pPr>
        <w:jc w:val="both"/>
        <w:rPr>
          <w:sz w:val="24"/>
          <w:szCs w:val="24"/>
        </w:rPr>
      </w:pPr>
      <w:r w:rsidRPr="0076359B">
        <w:rPr>
          <w:sz w:val="24"/>
          <w:szCs w:val="24"/>
        </w:rPr>
        <w:t xml:space="preserve">Le PLIE de Bordeaux affiche une programmation de près de </w:t>
      </w:r>
      <w:r w:rsidRPr="0076359B">
        <w:rPr>
          <w:b/>
          <w:sz w:val="24"/>
          <w:szCs w:val="24"/>
        </w:rPr>
        <w:t>250 000 heures insertion</w:t>
      </w:r>
      <w:r w:rsidRPr="0076359B">
        <w:rPr>
          <w:sz w:val="24"/>
          <w:szCs w:val="24"/>
        </w:rPr>
        <w:t xml:space="preserve"> dans des opérations intégrant une clause sociale pour l’ensemble des donneurs d’ordre et incluant les Grands Projets Urbains (Grand Stade, Cité municipale, Projet </w:t>
      </w:r>
      <w:r>
        <w:rPr>
          <w:sz w:val="24"/>
          <w:szCs w:val="24"/>
        </w:rPr>
        <w:t>Bordeaux [Re] Centres</w:t>
      </w:r>
      <w:r w:rsidRPr="0076359B">
        <w:rPr>
          <w:sz w:val="24"/>
          <w:szCs w:val="24"/>
        </w:rPr>
        <w:t xml:space="preserve"> et CCTV).</w:t>
      </w:r>
    </w:p>
    <w:p w:rsidR="00740144" w:rsidRPr="0076359B" w:rsidRDefault="00740144" w:rsidP="00700051">
      <w:pPr>
        <w:jc w:val="both"/>
        <w:rPr>
          <w:sz w:val="24"/>
          <w:szCs w:val="24"/>
        </w:rPr>
      </w:pPr>
      <w:r w:rsidRPr="0076359B">
        <w:rPr>
          <w:sz w:val="24"/>
          <w:szCs w:val="24"/>
        </w:rPr>
        <w:t>Ce volume d’heures se répartit sur 64 opérations.</w:t>
      </w:r>
    </w:p>
    <w:p w:rsidR="00740144" w:rsidRPr="008631D1" w:rsidRDefault="00740144" w:rsidP="00700051">
      <w:pPr>
        <w:jc w:val="both"/>
        <w:rPr>
          <w:sz w:val="4"/>
          <w:szCs w:val="4"/>
        </w:rPr>
      </w:pPr>
    </w:p>
    <w:p w:rsidR="00740144" w:rsidRDefault="00771071">
      <w:pPr>
        <w:rPr>
          <w:noProof/>
          <w:lang w:eastAsia="fr-FR"/>
        </w:rPr>
      </w:pPr>
      <w:r>
        <w:rPr>
          <w:noProof/>
          <w:lang w:eastAsia="fr-FR"/>
        </w:rPr>
        <w:drawing>
          <wp:inline distT="0" distB="0" distL="0" distR="0">
            <wp:extent cx="6052302" cy="711200"/>
            <wp:effectExtent l="18298" t="0" r="0" b="0"/>
            <wp:docPr id="41" name="Diagramme 19"/>
            <wp:cNvGraphicFramePr>
              <a:graphicFrameLocks xmlns:a="http://schemas.openxmlformats.org/drawingml/2006/main"/>
            </wp:cNvGraphicFramePr>
            <a:graphic xmlns:a="http://schemas.openxmlformats.org/drawingml/2006/main">
              <a:graphicData uri="http://schemas.openxmlformats.org/drawingml/2006/diagram">
                <a:relIds xmlns:dgm="http://schemas.openxmlformats.org/drawingml/2006/diagram" xmlns:r="http://schemas.openxmlformats.org/officeDocument/2006/relationships" r:dm="rId104" r:lo="rId105" r:qs="rId106" r:cs="rId107"/>
              </a:graphicData>
            </a:graphic>
          </wp:inline>
        </w:drawing>
      </w:r>
    </w:p>
    <w:p w:rsidR="00740144" w:rsidRPr="00313F18" w:rsidRDefault="00740144">
      <w:pPr>
        <w:rPr>
          <w:b/>
          <w:sz w:val="24"/>
          <w:szCs w:val="24"/>
        </w:rPr>
      </w:pPr>
      <w:r w:rsidRPr="00313F18">
        <w:rPr>
          <w:b/>
          <w:sz w:val="24"/>
          <w:szCs w:val="24"/>
        </w:rPr>
        <w:t>Hors grand projet urbains porté par la Ville de Bordeaux : Grand Stade, Cité Municipale et Centre Culturel et Technique du Vin.</w:t>
      </w:r>
    </w:p>
    <w:p w:rsidR="00740144" w:rsidRPr="006128AC" w:rsidRDefault="00740144" w:rsidP="006128AC">
      <w:pPr>
        <w:suppressAutoHyphens/>
        <w:spacing w:after="0" w:line="240" w:lineRule="auto"/>
        <w:rPr>
          <w:rFonts w:ascii="Times New Roman" w:hAnsi="Times New Roman"/>
          <w:sz w:val="20"/>
          <w:szCs w:val="20"/>
          <w:lang w:eastAsia="ar-SA"/>
        </w:rPr>
      </w:pPr>
    </w:p>
    <w:tbl>
      <w:tblPr>
        <w:tblW w:w="8931" w:type="dxa"/>
        <w:tblInd w:w="-34" w:type="dxa"/>
        <w:tblLayout w:type="fixed"/>
        <w:tblLook w:val="0000"/>
      </w:tblPr>
      <w:tblGrid>
        <w:gridCol w:w="5954"/>
        <w:gridCol w:w="2977"/>
      </w:tblGrid>
      <w:tr w:rsidR="00740144" w:rsidRPr="000857F0">
        <w:tc>
          <w:tcPr>
            <w:tcW w:w="5954" w:type="dxa"/>
            <w:tcBorders>
              <w:bottom w:val="single" w:sz="12" w:space="0" w:color="000000"/>
              <w:right w:val="single" w:sz="12" w:space="0" w:color="000000"/>
            </w:tcBorders>
            <w:vAlign w:val="center"/>
          </w:tcPr>
          <w:p w:rsidR="00740144" w:rsidRPr="006128AC" w:rsidRDefault="00740144" w:rsidP="006128AC">
            <w:pPr>
              <w:suppressAutoHyphens/>
              <w:snapToGrid w:val="0"/>
              <w:spacing w:before="120" w:after="0" w:line="240" w:lineRule="auto"/>
              <w:rPr>
                <w:rFonts w:ascii="Franklin Gothic Book" w:hAnsi="Franklin Gothic Book"/>
                <w:b/>
                <w:sz w:val="20"/>
                <w:szCs w:val="20"/>
                <w:lang w:eastAsia="ar-SA"/>
              </w:rPr>
            </w:pPr>
            <w:r w:rsidRPr="006128AC">
              <w:rPr>
                <w:rFonts w:ascii="Franklin Gothic Book" w:hAnsi="Franklin Gothic Book"/>
                <w:b/>
                <w:sz w:val="20"/>
                <w:szCs w:val="20"/>
                <w:lang w:eastAsia="ar-SA"/>
              </w:rPr>
              <w:t>En date du</w:t>
            </w:r>
            <w:r>
              <w:rPr>
                <w:rFonts w:ascii="Franklin Gothic Book" w:hAnsi="Franklin Gothic Book"/>
                <w:b/>
                <w:sz w:val="20"/>
                <w:szCs w:val="20"/>
                <w:lang w:eastAsia="ar-SA"/>
              </w:rPr>
              <w:t xml:space="preserve"> 31/12/2012</w:t>
            </w:r>
          </w:p>
        </w:tc>
        <w:tc>
          <w:tcPr>
            <w:tcW w:w="2977" w:type="dxa"/>
            <w:tcBorders>
              <w:top w:val="single" w:sz="12" w:space="0" w:color="000000"/>
              <w:left w:val="single" w:sz="4" w:space="0" w:color="000000"/>
              <w:bottom w:val="single" w:sz="12" w:space="0" w:color="000000"/>
              <w:right w:val="single" w:sz="12" w:space="0" w:color="000000"/>
            </w:tcBorders>
          </w:tcPr>
          <w:p w:rsidR="00740144" w:rsidRPr="006128AC" w:rsidRDefault="00740144" w:rsidP="006128AC">
            <w:pPr>
              <w:suppressAutoHyphens/>
              <w:snapToGrid w:val="0"/>
              <w:spacing w:before="120" w:after="0" w:line="240" w:lineRule="auto"/>
              <w:jc w:val="center"/>
              <w:rPr>
                <w:rFonts w:ascii="Franklin Gothic Book" w:hAnsi="Franklin Gothic Book"/>
                <w:b/>
                <w:color w:val="CC003F"/>
                <w:lang w:eastAsia="ar-SA"/>
              </w:rPr>
            </w:pPr>
            <w:r w:rsidRPr="006128AC">
              <w:rPr>
                <w:rFonts w:ascii="Franklin Gothic Book" w:hAnsi="Franklin Gothic Book"/>
                <w:b/>
                <w:color w:val="17365D"/>
                <w:lang w:eastAsia="ar-SA"/>
              </w:rPr>
              <w:t>Année 2013</w:t>
            </w:r>
          </w:p>
        </w:tc>
      </w:tr>
      <w:tr w:rsidR="00740144" w:rsidRPr="000857F0">
        <w:tc>
          <w:tcPr>
            <w:tcW w:w="5954" w:type="dxa"/>
            <w:tcBorders>
              <w:top w:val="single" w:sz="12" w:space="0" w:color="000000"/>
              <w:left w:val="single" w:sz="12" w:space="0" w:color="000000"/>
              <w:bottom w:val="single" w:sz="12" w:space="0" w:color="000000"/>
              <w:right w:val="single" w:sz="4" w:space="0" w:color="000000"/>
            </w:tcBorders>
            <w:vAlign w:val="center"/>
          </w:tcPr>
          <w:p w:rsidR="00740144" w:rsidRPr="006128AC" w:rsidRDefault="00740144" w:rsidP="006128AC">
            <w:pPr>
              <w:suppressAutoHyphens/>
              <w:snapToGrid w:val="0"/>
              <w:spacing w:before="120" w:after="0" w:line="240" w:lineRule="auto"/>
              <w:rPr>
                <w:rFonts w:ascii="Franklin Gothic Book" w:hAnsi="Franklin Gothic Book"/>
                <w:b/>
                <w:color w:val="2C4A98"/>
                <w:sz w:val="20"/>
                <w:szCs w:val="20"/>
                <w:lang w:eastAsia="ar-SA"/>
              </w:rPr>
            </w:pPr>
            <w:r w:rsidRPr="006128AC">
              <w:rPr>
                <w:rFonts w:ascii="Franklin Gothic Book" w:hAnsi="Franklin Gothic Book"/>
                <w:b/>
                <w:color w:val="2C4A98"/>
                <w:sz w:val="20"/>
                <w:szCs w:val="20"/>
                <w:lang w:eastAsia="ar-SA"/>
              </w:rPr>
              <w:t>Mairie de Bordeaux et ses établissements publics</w:t>
            </w:r>
          </w:p>
          <w:p w:rsidR="00740144" w:rsidRPr="006128AC" w:rsidRDefault="00740144" w:rsidP="006128AC">
            <w:pPr>
              <w:suppressAutoHyphens/>
              <w:snapToGrid w:val="0"/>
              <w:spacing w:before="120" w:after="0" w:line="240" w:lineRule="auto"/>
              <w:rPr>
                <w:rFonts w:ascii="Franklin Gothic Book" w:hAnsi="Franklin Gothic Book"/>
                <w:sz w:val="18"/>
                <w:szCs w:val="18"/>
                <w:lang w:eastAsia="ar-SA"/>
              </w:rPr>
            </w:pPr>
            <w:r>
              <w:rPr>
                <w:rFonts w:ascii="Franklin Gothic Book" w:hAnsi="Franklin Gothic Book"/>
                <w:sz w:val="18"/>
                <w:szCs w:val="18"/>
                <w:lang w:eastAsia="ar-SA"/>
              </w:rPr>
              <w:t>19 opérations de travaux identifiées (hors grands projets)</w:t>
            </w:r>
            <w:r w:rsidRPr="006128AC">
              <w:rPr>
                <w:rFonts w:ascii="Franklin Gothic Book" w:hAnsi="Franklin Gothic Book"/>
                <w:sz w:val="18"/>
                <w:szCs w:val="18"/>
                <w:lang w:eastAsia="ar-SA"/>
              </w:rPr>
              <w:t>)</w:t>
            </w:r>
          </w:p>
          <w:p w:rsidR="00740144" w:rsidRPr="006128AC" w:rsidRDefault="00740144" w:rsidP="006128AC">
            <w:pPr>
              <w:suppressAutoHyphens/>
              <w:snapToGrid w:val="0"/>
              <w:spacing w:before="120" w:after="0" w:line="240" w:lineRule="auto"/>
              <w:rPr>
                <w:rFonts w:ascii="Franklin Gothic Book" w:hAnsi="Franklin Gothic Book"/>
                <w:b/>
                <w:color w:val="CC003F"/>
                <w:sz w:val="18"/>
                <w:szCs w:val="18"/>
                <w:lang w:eastAsia="ar-SA"/>
              </w:rPr>
            </w:pPr>
            <w:r w:rsidRPr="006128AC">
              <w:rPr>
                <w:rFonts w:ascii="Franklin Gothic Book" w:hAnsi="Franklin Gothic Book"/>
                <w:sz w:val="18"/>
                <w:szCs w:val="18"/>
                <w:lang w:eastAsia="ar-SA"/>
              </w:rPr>
              <w:t>Une analyse sur les marchés de prestation de service est en cours</w:t>
            </w:r>
          </w:p>
        </w:tc>
        <w:tc>
          <w:tcPr>
            <w:tcW w:w="2977" w:type="dxa"/>
            <w:tcBorders>
              <w:top w:val="single" w:sz="12" w:space="0" w:color="000000"/>
              <w:left w:val="single" w:sz="4" w:space="0" w:color="000000"/>
              <w:bottom w:val="single" w:sz="12" w:space="0" w:color="000000"/>
              <w:right w:val="single" w:sz="12" w:space="0" w:color="000000"/>
            </w:tcBorders>
          </w:tcPr>
          <w:p w:rsidR="00740144" w:rsidRPr="006128AC" w:rsidRDefault="00740144" w:rsidP="006128AC">
            <w:pPr>
              <w:suppressAutoHyphens/>
              <w:snapToGrid w:val="0"/>
              <w:spacing w:before="120" w:after="0" w:line="240" w:lineRule="auto"/>
              <w:jc w:val="center"/>
              <w:rPr>
                <w:rFonts w:ascii="Franklin Gothic Book" w:hAnsi="Franklin Gothic Book"/>
                <w:b/>
                <w:lang w:eastAsia="ar-SA"/>
              </w:rPr>
            </w:pPr>
          </w:p>
          <w:p w:rsidR="00740144" w:rsidRPr="006128AC" w:rsidRDefault="00740144" w:rsidP="006128AC">
            <w:pPr>
              <w:suppressAutoHyphens/>
              <w:snapToGrid w:val="0"/>
              <w:spacing w:before="120" w:after="0" w:line="240" w:lineRule="auto"/>
              <w:jc w:val="center"/>
              <w:rPr>
                <w:rFonts w:ascii="Franklin Gothic Book" w:hAnsi="Franklin Gothic Book"/>
                <w:b/>
                <w:lang w:eastAsia="ar-SA"/>
              </w:rPr>
            </w:pPr>
            <w:r>
              <w:rPr>
                <w:rFonts w:ascii="Franklin Gothic Book" w:hAnsi="Franklin Gothic Book"/>
                <w:b/>
                <w:lang w:eastAsia="ar-SA"/>
              </w:rPr>
              <w:t>59 295</w:t>
            </w:r>
          </w:p>
        </w:tc>
      </w:tr>
      <w:tr w:rsidR="00740144" w:rsidRPr="000857F0">
        <w:tc>
          <w:tcPr>
            <w:tcW w:w="5954" w:type="dxa"/>
            <w:tcBorders>
              <w:top w:val="single" w:sz="12" w:space="0" w:color="000000"/>
              <w:left w:val="single" w:sz="12" w:space="0" w:color="000000"/>
              <w:bottom w:val="single" w:sz="12" w:space="0" w:color="000000"/>
              <w:right w:val="single" w:sz="4" w:space="0" w:color="000000"/>
            </w:tcBorders>
            <w:vAlign w:val="center"/>
          </w:tcPr>
          <w:p w:rsidR="00740144" w:rsidRPr="006128AC" w:rsidRDefault="00740144" w:rsidP="006128AC">
            <w:pPr>
              <w:suppressAutoHyphens/>
              <w:snapToGrid w:val="0"/>
              <w:spacing w:before="120" w:after="0" w:line="240" w:lineRule="auto"/>
              <w:rPr>
                <w:rFonts w:ascii="Franklin Gothic Book" w:hAnsi="Franklin Gothic Book"/>
                <w:b/>
                <w:color w:val="2C4A98"/>
                <w:sz w:val="20"/>
                <w:szCs w:val="20"/>
                <w:lang w:eastAsia="ar-SA"/>
              </w:rPr>
            </w:pPr>
            <w:r w:rsidRPr="006128AC">
              <w:rPr>
                <w:rFonts w:ascii="Franklin Gothic Book" w:hAnsi="Franklin Gothic Book"/>
                <w:b/>
                <w:color w:val="2C4A98"/>
                <w:sz w:val="20"/>
                <w:szCs w:val="20"/>
                <w:lang w:eastAsia="ar-SA"/>
              </w:rPr>
              <w:t>Conseil Régional Aquitaine</w:t>
            </w:r>
          </w:p>
        </w:tc>
        <w:tc>
          <w:tcPr>
            <w:tcW w:w="2977" w:type="dxa"/>
            <w:tcBorders>
              <w:top w:val="single" w:sz="12" w:space="0" w:color="000000"/>
              <w:left w:val="single" w:sz="4" w:space="0" w:color="000000"/>
              <w:bottom w:val="single" w:sz="12" w:space="0" w:color="000000"/>
              <w:right w:val="single" w:sz="12" w:space="0" w:color="000000"/>
            </w:tcBorders>
          </w:tcPr>
          <w:p w:rsidR="00740144" w:rsidRPr="006128AC" w:rsidRDefault="00740144" w:rsidP="006128AC">
            <w:pPr>
              <w:suppressAutoHyphens/>
              <w:snapToGrid w:val="0"/>
              <w:spacing w:before="120" w:after="0" w:line="240" w:lineRule="auto"/>
              <w:jc w:val="center"/>
              <w:rPr>
                <w:rFonts w:ascii="Franklin Gothic Book" w:hAnsi="Franklin Gothic Book"/>
                <w:b/>
                <w:lang w:eastAsia="ar-SA"/>
              </w:rPr>
            </w:pPr>
            <w:r>
              <w:rPr>
                <w:rFonts w:ascii="Franklin Gothic Book" w:hAnsi="Franklin Gothic Book"/>
                <w:b/>
                <w:lang w:eastAsia="ar-SA"/>
              </w:rPr>
              <w:t xml:space="preserve">3 </w:t>
            </w:r>
            <w:r w:rsidRPr="006128AC">
              <w:rPr>
                <w:rFonts w:ascii="Franklin Gothic Book" w:hAnsi="Franklin Gothic Book"/>
                <w:b/>
                <w:lang w:eastAsia="ar-SA"/>
              </w:rPr>
              <w:t>000</w:t>
            </w:r>
          </w:p>
        </w:tc>
      </w:tr>
      <w:tr w:rsidR="00740144" w:rsidRPr="000857F0">
        <w:tc>
          <w:tcPr>
            <w:tcW w:w="5954" w:type="dxa"/>
            <w:tcBorders>
              <w:top w:val="single" w:sz="12" w:space="0" w:color="000000"/>
              <w:left w:val="single" w:sz="12" w:space="0" w:color="000000"/>
              <w:bottom w:val="single" w:sz="12" w:space="0" w:color="000000"/>
              <w:right w:val="single" w:sz="4" w:space="0" w:color="000000"/>
            </w:tcBorders>
            <w:vAlign w:val="center"/>
          </w:tcPr>
          <w:p w:rsidR="00740144" w:rsidRPr="006128AC" w:rsidRDefault="00740144" w:rsidP="006128AC">
            <w:pPr>
              <w:suppressAutoHyphens/>
              <w:snapToGrid w:val="0"/>
              <w:spacing w:before="120" w:after="0" w:line="240" w:lineRule="auto"/>
              <w:rPr>
                <w:rFonts w:ascii="Franklin Gothic Book" w:hAnsi="Franklin Gothic Book"/>
                <w:b/>
                <w:color w:val="2C4A98"/>
                <w:sz w:val="20"/>
                <w:szCs w:val="20"/>
                <w:lang w:eastAsia="ar-SA"/>
              </w:rPr>
            </w:pPr>
            <w:r w:rsidRPr="006128AC">
              <w:rPr>
                <w:rFonts w:ascii="Franklin Gothic Book" w:hAnsi="Franklin Gothic Book"/>
                <w:b/>
                <w:color w:val="2C4A98"/>
                <w:sz w:val="20"/>
                <w:szCs w:val="20"/>
                <w:lang w:eastAsia="ar-SA"/>
              </w:rPr>
              <w:t>Communauté Urbaine de Bordeaux</w:t>
            </w:r>
          </w:p>
        </w:tc>
        <w:tc>
          <w:tcPr>
            <w:tcW w:w="2977" w:type="dxa"/>
            <w:tcBorders>
              <w:top w:val="single" w:sz="12" w:space="0" w:color="000000"/>
              <w:left w:val="single" w:sz="4" w:space="0" w:color="000000"/>
              <w:bottom w:val="single" w:sz="12" w:space="0" w:color="000000"/>
              <w:right w:val="single" w:sz="12" w:space="0" w:color="000000"/>
            </w:tcBorders>
          </w:tcPr>
          <w:p w:rsidR="00740144" w:rsidRPr="006128AC" w:rsidRDefault="00740144" w:rsidP="006128AC">
            <w:pPr>
              <w:suppressAutoHyphens/>
              <w:snapToGrid w:val="0"/>
              <w:spacing w:before="120" w:after="0" w:line="240" w:lineRule="auto"/>
              <w:jc w:val="center"/>
              <w:rPr>
                <w:rFonts w:ascii="Franklin Gothic Book" w:hAnsi="Franklin Gothic Book"/>
                <w:b/>
                <w:lang w:eastAsia="ar-SA"/>
              </w:rPr>
            </w:pPr>
            <w:r>
              <w:rPr>
                <w:rFonts w:ascii="Franklin Gothic Book" w:hAnsi="Franklin Gothic Book"/>
                <w:b/>
                <w:lang w:eastAsia="ar-SA"/>
              </w:rPr>
              <w:t>35 294</w:t>
            </w:r>
          </w:p>
        </w:tc>
      </w:tr>
      <w:tr w:rsidR="00740144" w:rsidRPr="000857F0">
        <w:tc>
          <w:tcPr>
            <w:tcW w:w="5954" w:type="dxa"/>
            <w:tcBorders>
              <w:top w:val="single" w:sz="12" w:space="0" w:color="000000"/>
              <w:left w:val="single" w:sz="12" w:space="0" w:color="000000"/>
              <w:bottom w:val="single" w:sz="12" w:space="0" w:color="000000"/>
              <w:right w:val="single" w:sz="4" w:space="0" w:color="000000"/>
            </w:tcBorders>
            <w:vAlign w:val="center"/>
          </w:tcPr>
          <w:p w:rsidR="00740144" w:rsidRPr="006128AC" w:rsidRDefault="00740144" w:rsidP="006128AC">
            <w:pPr>
              <w:suppressAutoHyphens/>
              <w:snapToGrid w:val="0"/>
              <w:spacing w:before="120" w:after="0" w:line="240" w:lineRule="auto"/>
              <w:rPr>
                <w:rFonts w:ascii="Franklin Gothic Book" w:hAnsi="Franklin Gothic Book"/>
                <w:b/>
                <w:color w:val="2C4A98"/>
                <w:sz w:val="20"/>
                <w:szCs w:val="20"/>
                <w:lang w:eastAsia="ar-SA"/>
              </w:rPr>
            </w:pPr>
            <w:r w:rsidRPr="006128AC">
              <w:rPr>
                <w:rFonts w:ascii="Franklin Gothic Book" w:hAnsi="Franklin Gothic Book"/>
                <w:b/>
                <w:color w:val="2C4A98"/>
                <w:sz w:val="20"/>
                <w:szCs w:val="20"/>
                <w:lang w:eastAsia="ar-SA"/>
              </w:rPr>
              <w:t>Aquitanis</w:t>
            </w:r>
          </w:p>
        </w:tc>
        <w:tc>
          <w:tcPr>
            <w:tcW w:w="2977" w:type="dxa"/>
            <w:tcBorders>
              <w:top w:val="single" w:sz="12" w:space="0" w:color="000000"/>
              <w:left w:val="single" w:sz="4" w:space="0" w:color="000000"/>
              <w:bottom w:val="single" w:sz="12" w:space="0" w:color="000000"/>
              <w:right w:val="single" w:sz="12" w:space="0" w:color="000000"/>
            </w:tcBorders>
          </w:tcPr>
          <w:p w:rsidR="00740144" w:rsidRPr="006128AC" w:rsidRDefault="00740144" w:rsidP="006128AC">
            <w:pPr>
              <w:suppressAutoHyphens/>
              <w:snapToGrid w:val="0"/>
              <w:spacing w:before="120" w:after="0" w:line="240" w:lineRule="auto"/>
              <w:jc w:val="center"/>
              <w:rPr>
                <w:rFonts w:ascii="Franklin Gothic Book" w:hAnsi="Franklin Gothic Book"/>
                <w:b/>
                <w:lang w:eastAsia="ar-SA"/>
              </w:rPr>
            </w:pPr>
            <w:r>
              <w:rPr>
                <w:rFonts w:ascii="Franklin Gothic Book" w:hAnsi="Franklin Gothic Book"/>
                <w:b/>
                <w:lang w:eastAsia="ar-SA"/>
              </w:rPr>
              <w:t>16 350</w:t>
            </w:r>
          </w:p>
        </w:tc>
      </w:tr>
      <w:tr w:rsidR="00740144" w:rsidRPr="000857F0">
        <w:tc>
          <w:tcPr>
            <w:tcW w:w="5954" w:type="dxa"/>
            <w:tcBorders>
              <w:top w:val="single" w:sz="12" w:space="0" w:color="000000"/>
              <w:left w:val="single" w:sz="12" w:space="0" w:color="000000"/>
              <w:bottom w:val="single" w:sz="12" w:space="0" w:color="000000"/>
              <w:right w:val="single" w:sz="4" w:space="0" w:color="000000"/>
            </w:tcBorders>
            <w:vAlign w:val="center"/>
          </w:tcPr>
          <w:p w:rsidR="00740144" w:rsidRPr="006128AC" w:rsidRDefault="00740144" w:rsidP="006128AC">
            <w:pPr>
              <w:suppressAutoHyphens/>
              <w:snapToGrid w:val="0"/>
              <w:spacing w:before="120" w:after="0" w:line="240" w:lineRule="auto"/>
              <w:rPr>
                <w:rFonts w:ascii="Franklin Gothic Book" w:hAnsi="Franklin Gothic Book"/>
                <w:b/>
                <w:color w:val="2C4A98"/>
                <w:sz w:val="20"/>
                <w:szCs w:val="20"/>
                <w:lang w:eastAsia="ar-SA"/>
              </w:rPr>
            </w:pPr>
            <w:r w:rsidRPr="006128AC">
              <w:rPr>
                <w:rFonts w:ascii="Franklin Gothic Book" w:hAnsi="Franklin Gothic Book"/>
                <w:b/>
                <w:color w:val="2C4A98"/>
                <w:sz w:val="20"/>
                <w:szCs w:val="20"/>
                <w:lang w:eastAsia="ar-SA"/>
              </w:rPr>
              <w:t>Domofrance</w:t>
            </w:r>
          </w:p>
        </w:tc>
        <w:tc>
          <w:tcPr>
            <w:tcW w:w="2977" w:type="dxa"/>
            <w:tcBorders>
              <w:top w:val="single" w:sz="12" w:space="0" w:color="000000"/>
              <w:left w:val="single" w:sz="4" w:space="0" w:color="000000"/>
              <w:bottom w:val="single" w:sz="12" w:space="0" w:color="000000"/>
              <w:right w:val="single" w:sz="12" w:space="0" w:color="000000"/>
            </w:tcBorders>
          </w:tcPr>
          <w:p w:rsidR="00740144" w:rsidRPr="006128AC" w:rsidRDefault="00740144" w:rsidP="00833556">
            <w:pPr>
              <w:suppressAutoHyphens/>
              <w:snapToGrid w:val="0"/>
              <w:spacing w:before="120" w:after="0" w:line="240" w:lineRule="auto"/>
              <w:jc w:val="center"/>
              <w:rPr>
                <w:rFonts w:ascii="Franklin Gothic Book" w:hAnsi="Franklin Gothic Book"/>
                <w:b/>
                <w:lang w:eastAsia="ar-SA"/>
              </w:rPr>
            </w:pPr>
            <w:r>
              <w:rPr>
                <w:rFonts w:ascii="Franklin Gothic Book" w:hAnsi="Franklin Gothic Book"/>
                <w:b/>
                <w:lang w:eastAsia="ar-SA"/>
              </w:rPr>
              <w:t>31 434</w:t>
            </w:r>
          </w:p>
        </w:tc>
      </w:tr>
      <w:tr w:rsidR="00740144" w:rsidRPr="000857F0">
        <w:tc>
          <w:tcPr>
            <w:tcW w:w="5954" w:type="dxa"/>
            <w:tcBorders>
              <w:top w:val="single" w:sz="12" w:space="0" w:color="000000"/>
              <w:left w:val="single" w:sz="12" w:space="0" w:color="000000"/>
              <w:bottom w:val="single" w:sz="12" w:space="0" w:color="000000"/>
              <w:right w:val="single" w:sz="4" w:space="0" w:color="000000"/>
            </w:tcBorders>
            <w:vAlign w:val="center"/>
          </w:tcPr>
          <w:p w:rsidR="00740144" w:rsidRPr="006128AC" w:rsidRDefault="00740144" w:rsidP="006128AC">
            <w:pPr>
              <w:suppressAutoHyphens/>
              <w:snapToGrid w:val="0"/>
              <w:spacing w:before="120" w:after="0" w:line="240" w:lineRule="auto"/>
              <w:rPr>
                <w:rFonts w:ascii="Franklin Gothic Book" w:hAnsi="Franklin Gothic Book"/>
                <w:b/>
                <w:color w:val="2C4A98"/>
                <w:sz w:val="20"/>
                <w:szCs w:val="20"/>
                <w:lang w:eastAsia="ar-SA"/>
              </w:rPr>
            </w:pPr>
            <w:r>
              <w:rPr>
                <w:rFonts w:ascii="Franklin Gothic Book" w:hAnsi="Franklin Gothic Book"/>
                <w:b/>
                <w:color w:val="2C4A98"/>
                <w:sz w:val="20"/>
                <w:szCs w:val="20"/>
                <w:lang w:eastAsia="ar-SA"/>
              </w:rPr>
              <w:t>Gironde Habitat</w:t>
            </w:r>
          </w:p>
        </w:tc>
        <w:tc>
          <w:tcPr>
            <w:tcW w:w="2977" w:type="dxa"/>
            <w:tcBorders>
              <w:top w:val="single" w:sz="12" w:space="0" w:color="000000"/>
              <w:left w:val="single" w:sz="4" w:space="0" w:color="000000"/>
              <w:bottom w:val="single" w:sz="12" w:space="0" w:color="000000"/>
              <w:right w:val="single" w:sz="12" w:space="0" w:color="000000"/>
            </w:tcBorders>
          </w:tcPr>
          <w:p w:rsidR="00740144" w:rsidRPr="006128AC" w:rsidRDefault="00740144" w:rsidP="006128AC">
            <w:pPr>
              <w:suppressAutoHyphens/>
              <w:snapToGrid w:val="0"/>
              <w:spacing w:before="120" w:after="0" w:line="240" w:lineRule="auto"/>
              <w:jc w:val="center"/>
              <w:rPr>
                <w:rFonts w:ascii="Franklin Gothic Book" w:hAnsi="Franklin Gothic Book"/>
                <w:b/>
                <w:lang w:eastAsia="ar-SA"/>
              </w:rPr>
            </w:pPr>
            <w:r>
              <w:rPr>
                <w:rFonts w:ascii="Franklin Gothic Book" w:hAnsi="Franklin Gothic Book"/>
                <w:b/>
                <w:lang w:eastAsia="ar-SA"/>
              </w:rPr>
              <w:t>1 891</w:t>
            </w:r>
          </w:p>
        </w:tc>
      </w:tr>
      <w:tr w:rsidR="00740144" w:rsidRPr="000857F0">
        <w:tc>
          <w:tcPr>
            <w:tcW w:w="5954" w:type="dxa"/>
            <w:tcBorders>
              <w:top w:val="single" w:sz="12" w:space="0" w:color="000000"/>
              <w:left w:val="single" w:sz="12" w:space="0" w:color="000000"/>
              <w:bottom w:val="single" w:sz="12" w:space="0" w:color="000000"/>
              <w:right w:val="single" w:sz="4" w:space="0" w:color="000000"/>
            </w:tcBorders>
            <w:vAlign w:val="center"/>
          </w:tcPr>
          <w:p w:rsidR="00740144" w:rsidRDefault="00740144" w:rsidP="006128AC">
            <w:pPr>
              <w:suppressAutoHyphens/>
              <w:snapToGrid w:val="0"/>
              <w:spacing w:before="120" w:after="0" w:line="240" w:lineRule="auto"/>
              <w:rPr>
                <w:rFonts w:ascii="Franklin Gothic Book" w:hAnsi="Franklin Gothic Book"/>
                <w:b/>
                <w:color w:val="2C4A98"/>
                <w:sz w:val="20"/>
                <w:szCs w:val="20"/>
                <w:lang w:eastAsia="ar-SA"/>
              </w:rPr>
            </w:pPr>
            <w:r>
              <w:rPr>
                <w:rFonts w:ascii="Franklin Gothic Book" w:hAnsi="Franklin Gothic Book"/>
                <w:b/>
                <w:color w:val="2C4A98"/>
                <w:sz w:val="20"/>
                <w:szCs w:val="20"/>
                <w:lang w:eastAsia="ar-SA"/>
              </w:rPr>
              <w:t>In’Cité</w:t>
            </w:r>
          </w:p>
        </w:tc>
        <w:tc>
          <w:tcPr>
            <w:tcW w:w="2977" w:type="dxa"/>
            <w:tcBorders>
              <w:top w:val="single" w:sz="12" w:space="0" w:color="000000"/>
              <w:left w:val="single" w:sz="4" w:space="0" w:color="000000"/>
              <w:bottom w:val="single" w:sz="12" w:space="0" w:color="000000"/>
              <w:right w:val="single" w:sz="12" w:space="0" w:color="000000"/>
            </w:tcBorders>
          </w:tcPr>
          <w:p w:rsidR="00740144" w:rsidRDefault="00740144" w:rsidP="006128AC">
            <w:pPr>
              <w:suppressAutoHyphens/>
              <w:snapToGrid w:val="0"/>
              <w:spacing w:before="120" w:after="0" w:line="240" w:lineRule="auto"/>
              <w:jc w:val="center"/>
              <w:rPr>
                <w:rFonts w:ascii="Franklin Gothic Book" w:hAnsi="Franklin Gothic Book"/>
                <w:b/>
                <w:lang w:eastAsia="ar-SA"/>
              </w:rPr>
            </w:pPr>
            <w:r>
              <w:rPr>
                <w:rFonts w:ascii="Franklin Gothic Book" w:hAnsi="Franklin Gothic Book"/>
                <w:b/>
                <w:lang w:eastAsia="ar-SA"/>
              </w:rPr>
              <w:t>3 695</w:t>
            </w:r>
          </w:p>
        </w:tc>
      </w:tr>
      <w:tr w:rsidR="00740144" w:rsidRPr="000857F0">
        <w:tc>
          <w:tcPr>
            <w:tcW w:w="5954" w:type="dxa"/>
            <w:tcBorders>
              <w:top w:val="single" w:sz="12" w:space="0" w:color="000000"/>
              <w:left w:val="single" w:sz="12" w:space="0" w:color="000000"/>
              <w:bottom w:val="single" w:sz="12" w:space="0" w:color="000000"/>
              <w:right w:val="single" w:sz="4" w:space="0" w:color="000000"/>
            </w:tcBorders>
            <w:vAlign w:val="center"/>
          </w:tcPr>
          <w:p w:rsidR="00740144" w:rsidRPr="006128AC" w:rsidRDefault="00740144" w:rsidP="006128AC">
            <w:pPr>
              <w:suppressAutoHyphens/>
              <w:snapToGrid w:val="0"/>
              <w:spacing w:before="120" w:after="0" w:line="240" w:lineRule="auto"/>
              <w:rPr>
                <w:rFonts w:ascii="Franklin Gothic Book" w:hAnsi="Franklin Gothic Book"/>
                <w:b/>
                <w:color w:val="2C4A98"/>
                <w:sz w:val="20"/>
                <w:szCs w:val="20"/>
                <w:lang w:eastAsia="ar-SA"/>
              </w:rPr>
            </w:pPr>
            <w:r w:rsidRPr="006128AC">
              <w:rPr>
                <w:rFonts w:ascii="Franklin Gothic Book" w:hAnsi="Franklin Gothic Book"/>
                <w:b/>
                <w:color w:val="2C4A98"/>
                <w:sz w:val="20"/>
                <w:szCs w:val="20"/>
                <w:lang w:eastAsia="ar-SA"/>
              </w:rPr>
              <w:t>SNCF</w:t>
            </w:r>
          </w:p>
        </w:tc>
        <w:tc>
          <w:tcPr>
            <w:tcW w:w="2977" w:type="dxa"/>
            <w:tcBorders>
              <w:top w:val="single" w:sz="12" w:space="0" w:color="000000"/>
              <w:left w:val="single" w:sz="4" w:space="0" w:color="000000"/>
              <w:bottom w:val="single" w:sz="12" w:space="0" w:color="000000"/>
              <w:right w:val="single" w:sz="12" w:space="0" w:color="000000"/>
            </w:tcBorders>
          </w:tcPr>
          <w:p w:rsidR="00740144" w:rsidRPr="006128AC" w:rsidRDefault="00740144" w:rsidP="006128AC">
            <w:pPr>
              <w:suppressAutoHyphens/>
              <w:snapToGrid w:val="0"/>
              <w:spacing w:before="120" w:after="0" w:line="240" w:lineRule="auto"/>
              <w:jc w:val="center"/>
              <w:rPr>
                <w:rFonts w:ascii="Franklin Gothic Book" w:hAnsi="Franklin Gothic Book"/>
                <w:b/>
                <w:lang w:eastAsia="ar-SA"/>
              </w:rPr>
            </w:pPr>
            <w:r>
              <w:rPr>
                <w:rFonts w:ascii="Franklin Gothic Book" w:hAnsi="Franklin Gothic Book"/>
                <w:b/>
                <w:lang w:eastAsia="ar-SA"/>
              </w:rPr>
              <w:t>2 365</w:t>
            </w:r>
          </w:p>
        </w:tc>
      </w:tr>
      <w:tr w:rsidR="00740144" w:rsidRPr="000857F0">
        <w:tc>
          <w:tcPr>
            <w:tcW w:w="5954" w:type="dxa"/>
            <w:tcBorders>
              <w:top w:val="single" w:sz="12" w:space="0" w:color="000000"/>
              <w:left w:val="single" w:sz="12" w:space="0" w:color="000000"/>
              <w:bottom w:val="single" w:sz="12" w:space="0" w:color="000000"/>
              <w:right w:val="single" w:sz="4" w:space="0" w:color="000000"/>
            </w:tcBorders>
            <w:vAlign w:val="center"/>
          </w:tcPr>
          <w:p w:rsidR="00740144" w:rsidRPr="006128AC" w:rsidRDefault="00740144" w:rsidP="006128AC">
            <w:pPr>
              <w:suppressAutoHyphens/>
              <w:snapToGrid w:val="0"/>
              <w:spacing w:before="120" w:after="0" w:line="240" w:lineRule="auto"/>
              <w:rPr>
                <w:rFonts w:ascii="Franklin Gothic Book" w:hAnsi="Franklin Gothic Book"/>
                <w:b/>
                <w:color w:val="2C4A98"/>
                <w:sz w:val="20"/>
                <w:szCs w:val="20"/>
                <w:lang w:eastAsia="ar-SA"/>
              </w:rPr>
            </w:pPr>
            <w:r>
              <w:rPr>
                <w:rFonts w:ascii="Franklin Gothic Book" w:hAnsi="Franklin Gothic Book"/>
                <w:b/>
                <w:color w:val="2C4A98"/>
                <w:sz w:val="20"/>
                <w:szCs w:val="20"/>
                <w:lang w:eastAsia="ar-SA"/>
              </w:rPr>
              <w:t>Etat  (SAE)</w:t>
            </w:r>
          </w:p>
        </w:tc>
        <w:tc>
          <w:tcPr>
            <w:tcW w:w="2977" w:type="dxa"/>
            <w:tcBorders>
              <w:top w:val="single" w:sz="12" w:space="0" w:color="000000"/>
              <w:left w:val="single" w:sz="4" w:space="0" w:color="000000"/>
              <w:bottom w:val="single" w:sz="12" w:space="0" w:color="000000"/>
              <w:right w:val="single" w:sz="12" w:space="0" w:color="000000"/>
            </w:tcBorders>
          </w:tcPr>
          <w:p w:rsidR="00740144" w:rsidRDefault="00740144" w:rsidP="006128AC">
            <w:pPr>
              <w:suppressAutoHyphens/>
              <w:snapToGrid w:val="0"/>
              <w:spacing w:before="120" w:after="0" w:line="240" w:lineRule="auto"/>
              <w:jc w:val="center"/>
              <w:rPr>
                <w:rFonts w:ascii="Franklin Gothic Book" w:hAnsi="Franklin Gothic Book"/>
                <w:b/>
                <w:lang w:eastAsia="ar-SA"/>
              </w:rPr>
            </w:pPr>
            <w:r>
              <w:rPr>
                <w:rFonts w:ascii="Franklin Gothic Book" w:hAnsi="Franklin Gothic Book"/>
                <w:b/>
                <w:lang w:eastAsia="ar-SA"/>
              </w:rPr>
              <w:t>2 000</w:t>
            </w:r>
          </w:p>
        </w:tc>
      </w:tr>
    </w:tbl>
    <w:p w:rsidR="00740144" w:rsidRPr="006128AC" w:rsidRDefault="00740144" w:rsidP="006128AC">
      <w:pPr>
        <w:suppressAutoHyphens/>
        <w:spacing w:after="0" w:line="240" w:lineRule="auto"/>
        <w:rPr>
          <w:rFonts w:ascii="Times New Roman" w:hAnsi="Times New Roman"/>
          <w:sz w:val="20"/>
          <w:szCs w:val="20"/>
          <w:lang w:eastAsia="ar-SA"/>
        </w:rPr>
      </w:pPr>
    </w:p>
    <w:tbl>
      <w:tblPr>
        <w:tblW w:w="8931" w:type="dxa"/>
        <w:tblInd w:w="-34" w:type="dxa"/>
        <w:tblLayout w:type="fixed"/>
        <w:tblLook w:val="0000"/>
      </w:tblPr>
      <w:tblGrid>
        <w:gridCol w:w="5954"/>
        <w:gridCol w:w="2977"/>
      </w:tblGrid>
      <w:tr w:rsidR="00740144" w:rsidRPr="000857F0">
        <w:tc>
          <w:tcPr>
            <w:tcW w:w="5954" w:type="dxa"/>
            <w:tcBorders>
              <w:top w:val="single" w:sz="12" w:space="0" w:color="000000"/>
              <w:left w:val="single" w:sz="12" w:space="0" w:color="000000"/>
              <w:bottom w:val="single" w:sz="12" w:space="0" w:color="000000"/>
              <w:right w:val="single" w:sz="4" w:space="0" w:color="000000"/>
            </w:tcBorders>
            <w:vAlign w:val="center"/>
          </w:tcPr>
          <w:p w:rsidR="00740144" w:rsidRPr="006128AC" w:rsidRDefault="00740144" w:rsidP="006128AC">
            <w:pPr>
              <w:suppressAutoHyphens/>
              <w:snapToGrid w:val="0"/>
              <w:spacing w:before="120" w:after="0" w:line="240" w:lineRule="auto"/>
              <w:rPr>
                <w:rFonts w:ascii="Franklin Gothic Book" w:hAnsi="Franklin Gothic Book"/>
                <w:b/>
                <w:color w:val="CC003F"/>
                <w:sz w:val="20"/>
                <w:szCs w:val="20"/>
                <w:lang w:eastAsia="ar-SA"/>
              </w:rPr>
            </w:pPr>
            <w:r w:rsidRPr="006128AC">
              <w:rPr>
                <w:rFonts w:ascii="Franklin Gothic Book" w:hAnsi="Franklin Gothic Book"/>
                <w:b/>
                <w:color w:val="CC003F"/>
                <w:sz w:val="20"/>
                <w:szCs w:val="20"/>
                <w:lang w:eastAsia="ar-SA"/>
              </w:rPr>
              <w:t>TOTAL PROGRAMMATION PREVISIONNELLE</w:t>
            </w:r>
          </w:p>
        </w:tc>
        <w:tc>
          <w:tcPr>
            <w:tcW w:w="2977" w:type="dxa"/>
            <w:tcBorders>
              <w:top w:val="single" w:sz="12" w:space="0" w:color="000000"/>
              <w:left w:val="single" w:sz="4" w:space="0" w:color="000000"/>
              <w:bottom w:val="single" w:sz="12" w:space="0" w:color="000000"/>
              <w:right w:val="single" w:sz="12" w:space="0" w:color="000000"/>
            </w:tcBorders>
          </w:tcPr>
          <w:p w:rsidR="00740144" w:rsidRPr="006128AC" w:rsidRDefault="00740144" w:rsidP="006128AC">
            <w:pPr>
              <w:suppressAutoHyphens/>
              <w:snapToGrid w:val="0"/>
              <w:spacing w:before="120" w:after="0" w:line="240" w:lineRule="auto"/>
              <w:jc w:val="center"/>
              <w:rPr>
                <w:rFonts w:ascii="Franklin Gothic Book" w:hAnsi="Franklin Gothic Book"/>
                <w:b/>
                <w:color w:val="CC003F"/>
                <w:lang w:eastAsia="ar-SA"/>
              </w:rPr>
            </w:pPr>
            <w:r>
              <w:rPr>
                <w:rFonts w:ascii="Franklin Gothic Book" w:hAnsi="Franklin Gothic Book"/>
                <w:b/>
                <w:color w:val="CC003F"/>
                <w:lang w:eastAsia="ar-SA"/>
              </w:rPr>
              <w:t>155 324</w:t>
            </w:r>
          </w:p>
        </w:tc>
      </w:tr>
    </w:tbl>
    <w:p w:rsidR="00740144" w:rsidRDefault="00740144" w:rsidP="006128AC">
      <w:pPr>
        <w:suppressAutoHyphens/>
        <w:spacing w:after="0" w:line="240" w:lineRule="auto"/>
        <w:rPr>
          <w:rFonts w:ascii="Franklin Gothic Book" w:hAnsi="Franklin Gothic Book"/>
          <w:b/>
          <w:color w:val="CC003F"/>
          <w:sz w:val="18"/>
          <w:szCs w:val="18"/>
          <w:lang w:eastAsia="ar-SA"/>
        </w:rPr>
      </w:pPr>
    </w:p>
    <w:p w:rsidR="00740144" w:rsidRPr="00DB712E" w:rsidRDefault="00771071" w:rsidP="00DB712E">
      <w:pPr>
        <w:rPr>
          <w:rFonts w:ascii="Franklin Gothic Book" w:hAnsi="Franklin Gothic Book"/>
          <w:b/>
          <w:color w:val="CC003F"/>
          <w:sz w:val="18"/>
          <w:szCs w:val="18"/>
          <w:lang w:eastAsia="ar-SA"/>
        </w:rPr>
      </w:pPr>
      <w:r>
        <w:rPr>
          <w:noProof/>
          <w:lang w:eastAsia="fr-FR"/>
        </w:rPr>
        <w:drawing>
          <wp:inline distT="0" distB="0" distL="0" distR="0">
            <wp:extent cx="6073438" cy="711200"/>
            <wp:effectExtent l="12186" t="0" r="73876" b="0"/>
            <wp:docPr id="42" name="Diagramme 20"/>
            <wp:cNvGraphicFramePr>
              <a:graphicFrameLocks xmlns:a="http://schemas.openxmlformats.org/drawingml/2006/main"/>
            </wp:cNvGraphicFramePr>
            <a:graphic xmlns:a="http://schemas.openxmlformats.org/drawingml/2006/main">
              <a:graphicData uri="http://schemas.openxmlformats.org/drawingml/2006/diagram">
                <a:relIds xmlns:dgm="http://schemas.openxmlformats.org/drawingml/2006/diagram" xmlns:r="http://schemas.openxmlformats.org/officeDocument/2006/relationships" r:dm="rId109" r:lo="rId110" r:qs="rId111" r:cs="rId112"/>
              </a:graphicData>
            </a:graphic>
          </wp:inline>
        </w:drawing>
      </w:r>
    </w:p>
    <w:p w:rsidR="00740144" w:rsidRPr="00DB712E" w:rsidRDefault="00740144" w:rsidP="00DB712E">
      <w:pPr>
        <w:spacing w:after="0" w:line="240" w:lineRule="auto"/>
        <w:jc w:val="both"/>
        <w:rPr>
          <w:b/>
          <w:color w:val="CC003F"/>
          <w:sz w:val="24"/>
          <w:szCs w:val="24"/>
          <w:lang w:eastAsia="fr-FR"/>
        </w:rPr>
      </w:pPr>
    </w:p>
    <w:p w:rsidR="00740144" w:rsidRPr="00DB712E" w:rsidRDefault="00740144" w:rsidP="00DB712E">
      <w:pPr>
        <w:spacing w:after="0" w:line="240" w:lineRule="auto"/>
        <w:jc w:val="both"/>
        <w:rPr>
          <w:b/>
          <w:color w:val="2C4A98"/>
          <w:sz w:val="24"/>
          <w:szCs w:val="24"/>
          <w:lang w:eastAsia="fr-FR"/>
        </w:rPr>
      </w:pPr>
      <w:r w:rsidRPr="00DB712E">
        <w:rPr>
          <w:b/>
          <w:color w:val="2C4A98"/>
          <w:sz w:val="24"/>
          <w:szCs w:val="24"/>
          <w:lang w:eastAsia="fr-FR"/>
        </w:rPr>
        <w:t xml:space="preserve">PNRQAD – Bordeaux [Ré] Centres </w:t>
      </w:r>
    </w:p>
    <w:p w:rsidR="00740144" w:rsidRPr="00DB712E" w:rsidRDefault="00740144" w:rsidP="00DB712E">
      <w:pPr>
        <w:spacing w:after="0" w:line="240" w:lineRule="auto"/>
        <w:jc w:val="both"/>
        <w:rPr>
          <w:sz w:val="24"/>
          <w:szCs w:val="24"/>
          <w:lang w:eastAsia="fr-FR"/>
        </w:rPr>
      </w:pPr>
    </w:p>
    <w:p w:rsidR="00740144" w:rsidRDefault="00740144" w:rsidP="001757EA">
      <w:pPr>
        <w:suppressAutoHyphens/>
        <w:spacing w:after="0" w:line="240" w:lineRule="auto"/>
        <w:jc w:val="both"/>
        <w:rPr>
          <w:iCs/>
          <w:sz w:val="24"/>
          <w:szCs w:val="24"/>
          <w:lang w:eastAsia="ar-SA"/>
        </w:rPr>
      </w:pPr>
      <w:r w:rsidRPr="00DB712E">
        <w:rPr>
          <w:rFonts w:cs="Arial"/>
          <w:sz w:val="24"/>
          <w:szCs w:val="24"/>
          <w:lang w:eastAsia="ar-SA"/>
        </w:rPr>
        <w:t xml:space="preserve">Le PNRQAD </w:t>
      </w:r>
      <w:r>
        <w:rPr>
          <w:iCs/>
          <w:sz w:val="24"/>
          <w:szCs w:val="24"/>
          <w:lang w:eastAsia="ar-SA"/>
        </w:rPr>
        <w:t xml:space="preserve">Bordeaux [Re]Centres fait l’objet d’une charte locale d’insertion signée en juin 2012 par la Ville de Bordeaux et l’ensemble des maîtres d’ouvrages. Cette charte élaborée conjointement avec le PLIE de Bordeaux prévoit la réalisation de </w:t>
      </w:r>
      <w:r w:rsidRPr="001757EA">
        <w:rPr>
          <w:b/>
          <w:iCs/>
          <w:sz w:val="24"/>
          <w:szCs w:val="24"/>
          <w:lang w:eastAsia="ar-SA"/>
        </w:rPr>
        <w:t>33 840 heures d’insertion</w:t>
      </w:r>
      <w:r>
        <w:rPr>
          <w:iCs/>
          <w:sz w:val="24"/>
          <w:szCs w:val="24"/>
          <w:lang w:eastAsia="ar-SA"/>
        </w:rPr>
        <w:t xml:space="preserve"> prioritairement par un public résidant dans les quartiers en rénovation</w:t>
      </w:r>
      <w:r w:rsidRPr="00DB712E">
        <w:rPr>
          <w:rFonts w:cs="Arial"/>
          <w:sz w:val="24"/>
          <w:szCs w:val="24"/>
          <w:lang w:eastAsia="ar-SA"/>
        </w:rPr>
        <w:t xml:space="preserve"> définis par le périmètre de la convention PNRQAD</w:t>
      </w:r>
      <w:r>
        <w:rPr>
          <w:rFonts w:cs="Arial"/>
          <w:sz w:val="24"/>
          <w:szCs w:val="24"/>
          <w:lang w:eastAsia="ar-SA"/>
        </w:rPr>
        <w:t>.</w:t>
      </w:r>
    </w:p>
    <w:p w:rsidR="00740144" w:rsidRDefault="00740144" w:rsidP="001757EA">
      <w:pPr>
        <w:suppressAutoHyphens/>
        <w:spacing w:after="0" w:line="240" w:lineRule="auto"/>
        <w:jc w:val="both"/>
        <w:rPr>
          <w:iCs/>
          <w:sz w:val="24"/>
          <w:szCs w:val="24"/>
          <w:lang w:eastAsia="ar-SA"/>
        </w:rPr>
      </w:pPr>
    </w:p>
    <w:p w:rsidR="00740144" w:rsidRDefault="00740144" w:rsidP="001757EA">
      <w:pPr>
        <w:suppressAutoHyphens/>
        <w:spacing w:after="0" w:line="240" w:lineRule="auto"/>
        <w:jc w:val="both"/>
        <w:rPr>
          <w:iCs/>
          <w:sz w:val="24"/>
          <w:szCs w:val="24"/>
          <w:lang w:eastAsia="ar-SA"/>
        </w:rPr>
      </w:pPr>
      <w:r>
        <w:rPr>
          <w:iCs/>
          <w:sz w:val="24"/>
          <w:szCs w:val="24"/>
          <w:lang w:eastAsia="ar-SA"/>
        </w:rPr>
        <w:t>Les modalités de mise en œuvre des actions d’insertion répondent ainsi aux</w:t>
      </w:r>
      <w:r w:rsidRPr="00DB712E">
        <w:rPr>
          <w:iCs/>
          <w:sz w:val="24"/>
          <w:szCs w:val="24"/>
          <w:lang w:eastAsia="ar-SA"/>
        </w:rPr>
        <w:t xml:space="preserve"> objectifs d’insertion obligatoires au titre du financement par l’Etat</w:t>
      </w:r>
      <w:r>
        <w:rPr>
          <w:iCs/>
          <w:sz w:val="24"/>
          <w:szCs w:val="24"/>
          <w:lang w:eastAsia="ar-SA"/>
        </w:rPr>
        <w:t xml:space="preserve"> et de l’ANRU</w:t>
      </w:r>
      <w:r w:rsidRPr="00DB712E">
        <w:rPr>
          <w:iCs/>
          <w:sz w:val="24"/>
          <w:szCs w:val="24"/>
          <w:lang w:eastAsia="ar-SA"/>
        </w:rPr>
        <w:t xml:space="preserve"> des opérations de </w:t>
      </w:r>
      <w:r>
        <w:rPr>
          <w:iCs/>
          <w:sz w:val="24"/>
          <w:szCs w:val="24"/>
          <w:lang w:eastAsia="ar-SA"/>
        </w:rPr>
        <w:t xml:space="preserve">d’aménagements des espaces publics et de </w:t>
      </w:r>
      <w:r w:rsidRPr="00DB712E">
        <w:rPr>
          <w:iCs/>
          <w:sz w:val="24"/>
          <w:szCs w:val="24"/>
          <w:lang w:eastAsia="ar-SA"/>
        </w:rPr>
        <w:t>production de logements sociaux</w:t>
      </w:r>
      <w:r>
        <w:rPr>
          <w:iCs/>
          <w:sz w:val="24"/>
          <w:szCs w:val="24"/>
          <w:lang w:eastAsia="ar-SA"/>
        </w:rPr>
        <w:t>.</w:t>
      </w:r>
    </w:p>
    <w:p w:rsidR="00740144" w:rsidRDefault="00740144" w:rsidP="001757EA">
      <w:pPr>
        <w:suppressAutoHyphens/>
        <w:spacing w:after="0" w:line="240" w:lineRule="auto"/>
        <w:jc w:val="both"/>
        <w:rPr>
          <w:iCs/>
          <w:sz w:val="24"/>
          <w:szCs w:val="24"/>
          <w:lang w:eastAsia="ar-SA"/>
        </w:rPr>
      </w:pPr>
    </w:p>
    <w:p w:rsidR="00740144" w:rsidRDefault="00740144" w:rsidP="001757EA">
      <w:pPr>
        <w:suppressAutoHyphens/>
        <w:spacing w:after="0" w:line="240" w:lineRule="auto"/>
        <w:jc w:val="both"/>
        <w:rPr>
          <w:iCs/>
          <w:sz w:val="24"/>
          <w:szCs w:val="24"/>
          <w:lang w:eastAsia="ar-SA"/>
        </w:rPr>
      </w:pPr>
      <w:r>
        <w:rPr>
          <w:iCs/>
          <w:sz w:val="24"/>
          <w:szCs w:val="24"/>
          <w:lang w:eastAsia="ar-SA"/>
        </w:rPr>
        <w:t>Le PLIE de Bordeaux pilote l’ensemble de la démarche auprès des maîtres d’ouvrages.</w:t>
      </w:r>
    </w:p>
    <w:p w:rsidR="00740144" w:rsidRDefault="00740144" w:rsidP="001757EA">
      <w:pPr>
        <w:suppressAutoHyphens/>
        <w:spacing w:after="0" w:line="240" w:lineRule="auto"/>
        <w:jc w:val="both"/>
        <w:rPr>
          <w:iCs/>
          <w:sz w:val="24"/>
          <w:szCs w:val="24"/>
          <w:lang w:eastAsia="ar-SA"/>
        </w:rPr>
      </w:pPr>
      <w:r>
        <w:rPr>
          <w:iCs/>
          <w:sz w:val="24"/>
          <w:szCs w:val="24"/>
          <w:lang w:eastAsia="ar-SA"/>
        </w:rPr>
        <w:t xml:space="preserve">D’ores et déjà, les bailleurs sociaux ont intégré une clause sociale dans les opérations les plus significatives. </w:t>
      </w:r>
    </w:p>
    <w:p w:rsidR="00740144" w:rsidRDefault="00740144" w:rsidP="001757EA">
      <w:pPr>
        <w:suppressAutoHyphens/>
        <w:spacing w:after="0" w:line="240" w:lineRule="auto"/>
        <w:jc w:val="both"/>
        <w:rPr>
          <w:iCs/>
          <w:sz w:val="24"/>
          <w:szCs w:val="24"/>
          <w:lang w:eastAsia="ar-SA"/>
        </w:rPr>
      </w:pPr>
    </w:p>
    <w:p w:rsidR="00740144" w:rsidRPr="00DB712E" w:rsidRDefault="00740144" w:rsidP="00DE67B0">
      <w:pPr>
        <w:suppressAutoHyphens/>
        <w:spacing w:after="0" w:line="240" w:lineRule="auto"/>
        <w:jc w:val="both"/>
        <w:rPr>
          <w:iCs/>
          <w:sz w:val="24"/>
          <w:szCs w:val="24"/>
          <w:lang w:eastAsia="ar-SA"/>
        </w:rPr>
      </w:pPr>
      <w:r w:rsidRPr="00DB712E">
        <w:rPr>
          <w:iCs/>
          <w:sz w:val="24"/>
          <w:szCs w:val="24"/>
          <w:lang w:eastAsia="ar-SA"/>
        </w:rPr>
        <w:t>L</w:t>
      </w:r>
      <w:r>
        <w:rPr>
          <w:iCs/>
          <w:sz w:val="24"/>
          <w:szCs w:val="24"/>
          <w:lang w:eastAsia="ar-SA"/>
        </w:rPr>
        <w:t>e PLIE de Bordeaux et l</w:t>
      </w:r>
      <w:r w:rsidRPr="00DB712E">
        <w:rPr>
          <w:iCs/>
          <w:sz w:val="24"/>
          <w:szCs w:val="24"/>
          <w:lang w:eastAsia="ar-SA"/>
        </w:rPr>
        <w:t>e</w:t>
      </w:r>
      <w:r>
        <w:rPr>
          <w:iCs/>
          <w:sz w:val="24"/>
          <w:szCs w:val="24"/>
          <w:lang w:eastAsia="ar-SA"/>
        </w:rPr>
        <w:t xml:space="preserve">s bailleurs </w:t>
      </w:r>
      <w:r w:rsidRPr="00DB712E">
        <w:rPr>
          <w:iCs/>
          <w:sz w:val="24"/>
          <w:szCs w:val="24"/>
          <w:lang w:eastAsia="ar-SA"/>
        </w:rPr>
        <w:t>ont également le souci de diversifier les modalités de mis</w:t>
      </w:r>
      <w:r>
        <w:rPr>
          <w:iCs/>
          <w:sz w:val="24"/>
          <w:szCs w:val="24"/>
          <w:lang w:eastAsia="ar-SA"/>
        </w:rPr>
        <w:t>e en œuvre des clauses sociales</w:t>
      </w:r>
      <w:r w:rsidRPr="00DB712E">
        <w:rPr>
          <w:iCs/>
          <w:sz w:val="24"/>
          <w:szCs w:val="24"/>
          <w:lang w:eastAsia="ar-SA"/>
        </w:rPr>
        <w:t xml:space="preserve"> dans leurs marchés afin de toucher des pub</w:t>
      </w:r>
      <w:r>
        <w:rPr>
          <w:iCs/>
          <w:sz w:val="24"/>
          <w:szCs w:val="24"/>
          <w:lang w:eastAsia="ar-SA"/>
        </w:rPr>
        <w:t>lics les plus en difficultés</w:t>
      </w:r>
      <w:r w:rsidRPr="00DB712E">
        <w:rPr>
          <w:iCs/>
          <w:sz w:val="24"/>
          <w:szCs w:val="24"/>
          <w:lang w:eastAsia="ar-SA"/>
        </w:rPr>
        <w:t xml:space="preserve">. </w:t>
      </w:r>
    </w:p>
    <w:p w:rsidR="00740144" w:rsidRPr="00DB712E" w:rsidRDefault="00740144" w:rsidP="00DE67B0">
      <w:pPr>
        <w:suppressAutoHyphens/>
        <w:spacing w:after="0" w:line="240" w:lineRule="auto"/>
        <w:jc w:val="both"/>
        <w:rPr>
          <w:iCs/>
          <w:sz w:val="24"/>
          <w:szCs w:val="24"/>
          <w:lang w:eastAsia="ar-SA"/>
        </w:rPr>
      </w:pPr>
    </w:p>
    <w:p w:rsidR="00740144" w:rsidRDefault="00740144" w:rsidP="00DE67B0">
      <w:pPr>
        <w:suppressAutoHyphens/>
        <w:spacing w:after="0" w:line="240" w:lineRule="auto"/>
        <w:jc w:val="both"/>
        <w:rPr>
          <w:rFonts w:cs="Tahoma"/>
          <w:sz w:val="24"/>
          <w:szCs w:val="24"/>
          <w:lang w:eastAsia="fr-FR"/>
        </w:rPr>
      </w:pPr>
      <w:r w:rsidRPr="00DB712E">
        <w:rPr>
          <w:rFonts w:cs="Tahoma"/>
          <w:sz w:val="24"/>
          <w:szCs w:val="24"/>
          <w:lang w:eastAsia="fr-FR"/>
        </w:rPr>
        <w:t>Le dispositif des ateliers et chantiers d’insertion semble donc fort approprié pour préparer ce public à l’emploi.</w:t>
      </w:r>
    </w:p>
    <w:p w:rsidR="00740144" w:rsidRDefault="00740144" w:rsidP="00DE67B0">
      <w:pPr>
        <w:suppressAutoHyphens/>
        <w:spacing w:after="0" w:line="240" w:lineRule="auto"/>
        <w:jc w:val="both"/>
        <w:rPr>
          <w:rFonts w:cs="Tahoma"/>
          <w:sz w:val="24"/>
          <w:szCs w:val="24"/>
          <w:lang w:eastAsia="fr-FR"/>
        </w:rPr>
      </w:pPr>
    </w:p>
    <w:p w:rsidR="00740144" w:rsidRPr="00DB712E" w:rsidRDefault="00740144" w:rsidP="00DE67B0">
      <w:pPr>
        <w:suppressAutoHyphens/>
        <w:spacing w:after="0" w:line="240" w:lineRule="auto"/>
        <w:jc w:val="both"/>
        <w:rPr>
          <w:rFonts w:cs="Tahoma"/>
          <w:sz w:val="24"/>
          <w:szCs w:val="24"/>
          <w:lang w:eastAsia="fr-FR"/>
        </w:rPr>
      </w:pPr>
      <w:r>
        <w:rPr>
          <w:rFonts w:cs="Tahoma"/>
          <w:sz w:val="24"/>
          <w:szCs w:val="24"/>
          <w:lang w:eastAsia="fr-FR"/>
        </w:rPr>
        <w:t>Le PLIE de Bordeaux développe ainsi une ingénierie avec Domofrance et Aquitanis afin d’identifier des supports d’activités confiés à un Atelier Chantier Insertion dans le cadre de la réhabilitation des logements sociaux. Ce projet devrait aboutir en 2013 par la création d’un ACI Second Œuvre bénéficiant à 10 personnes en insertion.</w:t>
      </w:r>
    </w:p>
    <w:p w:rsidR="00740144" w:rsidRPr="00DB712E" w:rsidRDefault="00740144" w:rsidP="00DE67B0">
      <w:pPr>
        <w:spacing w:after="0" w:line="240" w:lineRule="auto"/>
        <w:ind w:right="-2"/>
        <w:jc w:val="both"/>
        <w:rPr>
          <w:rFonts w:cs="Arial"/>
          <w:sz w:val="24"/>
          <w:szCs w:val="24"/>
          <w:lang w:eastAsia="ar-SA"/>
        </w:rPr>
      </w:pPr>
    </w:p>
    <w:p w:rsidR="00740144" w:rsidRPr="00DB712E" w:rsidRDefault="00740144" w:rsidP="00BD72EB">
      <w:pPr>
        <w:spacing w:after="0" w:line="240" w:lineRule="auto"/>
        <w:jc w:val="both"/>
        <w:rPr>
          <w:b/>
          <w:color w:val="CC003F"/>
          <w:sz w:val="24"/>
          <w:szCs w:val="24"/>
          <w:lang w:eastAsia="fr-FR"/>
        </w:rPr>
      </w:pPr>
    </w:p>
    <w:p w:rsidR="00740144" w:rsidRPr="00DB712E" w:rsidRDefault="00740144" w:rsidP="00BD72EB">
      <w:pPr>
        <w:spacing w:after="0" w:line="240" w:lineRule="auto"/>
        <w:jc w:val="both"/>
        <w:rPr>
          <w:b/>
          <w:color w:val="2C4A98"/>
          <w:sz w:val="24"/>
          <w:szCs w:val="24"/>
          <w:lang w:eastAsia="fr-FR"/>
        </w:rPr>
      </w:pPr>
      <w:r>
        <w:rPr>
          <w:b/>
          <w:color w:val="2C4A98"/>
          <w:sz w:val="24"/>
          <w:szCs w:val="24"/>
          <w:lang w:eastAsia="fr-FR"/>
        </w:rPr>
        <w:t xml:space="preserve">Grand Stade de Bordeaux et Cité Municipale </w:t>
      </w:r>
    </w:p>
    <w:p w:rsidR="00740144" w:rsidRDefault="00740144">
      <w:pPr>
        <w:rPr>
          <w:b/>
          <w:sz w:val="24"/>
          <w:szCs w:val="24"/>
          <w:lang w:eastAsia="ar-SA"/>
        </w:rPr>
      </w:pPr>
    </w:p>
    <w:p w:rsidR="00740144" w:rsidRDefault="00740144" w:rsidP="00BD72EB">
      <w:pPr>
        <w:jc w:val="both"/>
        <w:rPr>
          <w:rFonts w:cs="Arial"/>
          <w:sz w:val="24"/>
          <w:szCs w:val="24"/>
          <w:lang w:eastAsia="ar-SA"/>
        </w:rPr>
      </w:pPr>
      <w:r>
        <w:rPr>
          <w:rFonts w:cs="Arial"/>
          <w:sz w:val="24"/>
          <w:szCs w:val="24"/>
          <w:lang w:eastAsia="ar-SA"/>
        </w:rPr>
        <w:t>Ces contrats de partenariat signés par la Ville de Bordeaux prévoient des objectifs d’insertion importants : 5% des heures de travail réalisées sur les phases de conception-construction et exploitation des sites doivent bénéficier à un public en difficulté d’insertion socio-professionnelle.</w:t>
      </w:r>
    </w:p>
    <w:p w:rsidR="00740144" w:rsidRDefault="00740144" w:rsidP="00BD72EB">
      <w:pPr>
        <w:jc w:val="both"/>
        <w:rPr>
          <w:rFonts w:cs="Arial"/>
          <w:sz w:val="24"/>
          <w:szCs w:val="24"/>
          <w:lang w:eastAsia="ar-SA"/>
        </w:rPr>
      </w:pPr>
      <w:r>
        <w:rPr>
          <w:rFonts w:cs="Arial"/>
          <w:sz w:val="24"/>
          <w:szCs w:val="24"/>
          <w:lang w:eastAsia="ar-SA"/>
        </w:rPr>
        <w:t>Cette démarche d’insertion demande une ingénierie spécifique apportée par le PLIE de Bordeaux auprès des groupements constructeurs notamment dans la détermination des objectifs quantitatifs et qualitatifs des actions d’insertion prévues.</w:t>
      </w:r>
    </w:p>
    <w:p w:rsidR="00740144" w:rsidRDefault="00740144" w:rsidP="00BD72EB">
      <w:pPr>
        <w:jc w:val="both"/>
        <w:rPr>
          <w:rFonts w:cs="Arial"/>
          <w:sz w:val="24"/>
          <w:szCs w:val="24"/>
          <w:lang w:eastAsia="ar-SA"/>
        </w:rPr>
      </w:pPr>
      <w:r>
        <w:rPr>
          <w:rFonts w:cs="Arial"/>
          <w:sz w:val="24"/>
          <w:szCs w:val="24"/>
          <w:lang w:eastAsia="ar-SA"/>
        </w:rPr>
        <w:t>Un travail partenarial auprès de l’ensemble des acteurs de l’emploi, de la formation et de l’insertion professionnelle de notre territoire est également conduit afin de mutualiser l’ensemble des ressources nécessaires à la réussite des projets.</w:t>
      </w:r>
    </w:p>
    <w:p w:rsidR="00740144" w:rsidRPr="00882156" w:rsidRDefault="00740144" w:rsidP="00BD72EB">
      <w:pPr>
        <w:jc w:val="both"/>
        <w:rPr>
          <w:rFonts w:cs="Arial"/>
          <w:b/>
          <w:sz w:val="24"/>
          <w:szCs w:val="24"/>
          <w:lang w:eastAsia="ar-SA"/>
        </w:rPr>
      </w:pPr>
      <w:r>
        <w:rPr>
          <w:rFonts w:cs="Arial"/>
          <w:sz w:val="24"/>
          <w:szCs w:val="24"/>
          <w:lang w:eastAsia="ar-SA"/>
        </w:rPr>
        <w:t xml:space="preserve">Fin 2012, les chartes d’insertion sur les phases conception-construction sont finalisées. Avec un objectif d’insertion de </w:t>
      </w:r>
      <w:r w:rsidRPr="00882156">
        <w:rPr>
          <w:rFonts w:cs="Arial"/>
          <w:b/>
          <w:sz w:val="24"/>
          <w:szCs w:val="24"/>
          <w:lang w:eastAsia="ar-SA"/>
        </w:rPr>
        <w:t>63 000 heures pour le Grand Stade et 14 000 pour la Cité Municipale.</w:t>
      </w:r>
    </w:p>
    <w:p w:rsidR="00740144" w:rsidRDefault="00740144" w:rsidP="00BD72EB">
      <w:pPr>
        <w:jc w:val="both"/>
        <w:rPr>
          <w:rFonts w:cs="Arial"/>
          <w:sz w:val="24"/>
          <w:szCs w:val="24"/>
          <w:lang w:eastAsia="ar-SA"/>
        </w:rPr>
      </w:pPr>
      <w:r>
        <w:rPr>
          <w:rFonts w:cs="Arial"/>
          <w:sz w:val="24"/>
          <w:szCs w:val="24"/>
          <w:lang w:eastAsia="ar-SA"/>
        </w:rPr>
        <w:t xml:space="preserve">Les modalités relatives aux premiers recrutements sur la phase gros œuvre sont organisées et des informations collectives de présentation des projets ont eu lieu en présence de l’ensemble des partenaires, des prescripteurs des publics et des groupements constructeurs. </w:t>
      </w:r>
    </w:p>
    <w:p w:rsidR="00740144" w:rsidRPr="00707158" w:rsidRDefault="00740144" w:rsidP="00BD72EB">
      <w:pPr>
        <w:jc w:val="both"/>
        <w:rPr>
          <w:b/>
          <w:sz w:val="24"/>
          <w:szCs w:val="24"/>
          <w:lang w:eastAsia="ar-SA"/>
        </w:rPr>
      </w:pPr>
      <w:r>
        <w:rPr>
          <w:rFonts w:cs="Arial"/>
          <w:sz w:val="24"/>
          <w:szCs w:val="24"/>
          <w:lang w:eastAsia="ar-SA"/>
        </w:rPr>
        <w:t>18 contrats de professionnalisation coffreurs bancheurs sont les premiers postes identifiés sur la phase gros œuvre des deux opérations. La procédure de recrutement pour la Cité est d’ailleurs finalisée pour 8 demandeurs d’emploi.</w:t>
      </w:r>
    </w:p>
    <w:p w:rsidR="00740144" w:rsidRDefault="00740144">
      <w:pPr>
        <w:rPr>
          <w:b/>
          <w:color w:val="2C4A98"/>
          <w:sz w:val="24"/>
          <w:szCs w:val="24"/>
          <w:lang w:eastAsia="fr-FR"/>
        </w:rPr>
      </w:pPr>
    </w:p>
    <w:p w:rsidR="00740144" w:rsidRDefault="00740144">
      <w:pPr>
        <w:rPr>
          <w:b/>
          <w:color w:val="2C4A98"/>
          <w:sz w:val="24"/>
          <w:szCs w:val="24"/>
          <w:lang w:eastAsia="fr-FR"/>
        </w:rPr>
      </w:pPr>
      <w:r>
        <w:rPr>
          <w:b/>
          <w:color w:val="2C4A98"/>
          <w:sz w:val="24"/>
          <w:szCs w:val="24"/>
          <w:lang w:eastAsia="fr-FR"/>
        </w:rPr>
        <w:t xml:space="preserve">D’autres projets portés par la Ville de Bordeaux intègrent une démarche d’insertion  d’ampleur dont le Centre Culturel et Technique du Vin. </w:t>
      </w:r>
    </w:p>
    <w:p w:rsidR="00740144" w:rsidRDefault="00740144">
      <w:pPr>
        <w:rPr>
          <w:rFonts w:ascii="Franklin Gothic Book" w:hAnsi="Franklin Gothic Book"/>
          <w:b/>
          <w:color w:val="CC003F"/>
          <w:sz w:val="18"/>
          <w:szCs w:val="18"/>
          <w:lang w:eastAsia="ar-SA"/>
        </w:rPr>
      </w:pPr>
      <w:r>
        <w:rPr>
          <w:b/>
          <w:color w:val="2C4A98"/>
          <w:sz w:val="24"/>
          <w:szCs w:val="24"/>
          <w:lang w:eastAsia="fr-FR"/>
        </w:rPr>
        <w:t>Sans oublier les opérations relatives à la construction des Archives Municipales, le Groupe Scolaire Albert Thomas, le Gymnase Virginia, pour les plus significatives en 2013.</w:t>
      </w:r>
    </w:p>
    <w:p w:rsidR="00740144" w:rsidRDefault="00740144">
      <w:pPr>
        <w:rPr>
          <w:rFonts w:ascii="Franklin Gothic Book" w:hAnsi="Franklin Gothic Book"/>
          <w:b/>
          <w:color w:val="CC003F"/>
          <w:sz w:val="18"/>
          <w:szCs w:val="18"/>
          <w:lang w:eastAsia="ar-SA"/>
        </w:rPr>
      </w:pPr>
    </w:p>
    <w:p w:rsidR="00740144" w:rsidRDefault="00740144">
      <w:pPr>
        <w:rPr>
          <w:rFonts w:ascii="Franklin Gothic Book" w:hAnsi="Franklin Gothic Book"/>
          <w:b/>
          <w:color w:val="CC003F"/>
          <w:sz w:val="18"/>
          <w:szCs w:val="18"/>
          <w:lang w:eastAsia="ar-SA"/>
        </w:rPr>
      </w:pPr>
    </w:p>
    <w:p w:rsidR="00740144" w:rsidRDefault="00771071">
      <w:pPr>
        <w:rPr>
          <w:rFonts w:ascii="Franklin Gothic Book" w:hAnsi="Franklin Gothic Book"/>
          <w:b/>
          <w:color w:val="CC003F"/>
          <w:sz w:val="18"/>
          <w:szCs w:val="18"/>
          <w:lang w:eastAsia="ar-SA"/>
        </w:rPr>
      </w:pPr>
      <w:r>
        <w:rPr>
          <w:noProof/>
          <w:lang w:eastAsia="fr-FR"/>
        </w:rPr>
        <w:drawing>
          <wp:inline distT="0" distB="0" distL="0" distR="0">
            <wp:extent cx="5760720" cy="660400"/>
            <wp:effectExtent l="12192" t="0" r="18288" b="0"/>
            <wp:docPr id="43" name="Diagramme 4"/>
            <wp:cNvGraphicFramePr>
              <a:graphicFrameLocks xmlns:a="http://schemas.openxmlformats.org/drawingml/2006/main"/>
            </wp:cNvGraphicFramePr>
            <a:graphic xmlns:a="http://schemas.openxmlformats.org/drawingml/2006/main">
              <a:graphicData uri="http://schemas.openxmlformats.org/drawingml/2006/diagram">
                <a:relIds xmlns:dgm="http://schemas.openxmlformats.org/drawingml/2006/diagram" xmlns:r="http://schemas.openxmlformats.org/officeDocument/2006/relationships" r:dm="rId114" r:lo="rId115" r:qs="rId116" r:cs="rId117"/>
              </a:graphicData>
            </a:graphic>
          </wp:inline>
        </w:drawing>
      </w:r>
    </w:p>
    <w:p w:rsidR="00740144" w:rsidRPr="007B1357" w:rsidRDefault="00740144" w:rsidP="00D13FCC">
      <w:pPr>
        <w:rPr>
          <w:rFonts w:cs="Arial"/>
          <w:sz w:val="24"/>
          <w:szCs w:val="24"/>
          <w:lang w:eastAsia="ar-SA"/>
        </w:rPr>
      </w:pPr>
      <w:r>
        <w:rPr>
          <w:rFonts w:cs="Arial"/>
          <w:sz w:val="24"/>
          <w:szCs w:val="24"/>
          <w:lang w:eastAsia="ar-SA"/>
        </w:rPr>
        <w:t xml:space="preserve">En 2013, le PLIE de Bordeaux souhaite conduire une réflexion afin de diversifier les modalités de mise en œuvre des clauses sociales avec un double objectif : </w:t>
      </w:r>
    </w:p>
    <w:p w:rsidR="00740144" w:rsidRPr="00D13FCC" w:rsidRDefault="00740144" w:rsidP="00D13FCC">
      <w:pPr>
        <w:numPr>
          <w:ilvl w:val="0"/>
          <w:numId w:val="1"/>
        </w:numPr>
        <w:tabs>
          <w:tab w:val="clear" w:pos="360"/>
          <w:tab w:val="num" w:pos="567"/>
        </w:tabs>
        <w:spacing w:after="0" w:line="240" w:lineRule="auto"/>
        <w:ind w:left="709" w:hanging="567"/>
        <w:contextualSpacing/>
        <w:rPr>
          <w:rFonts w:ascii="Times New Roman" w:hAnsi="Times New Roman"/>
          <w:color w:val="17365D"/>
          <w:sz w:val="36"/>
          <w:szCs w:val="24"/>
          <w:lang w:eastAsia="fr-FR"/>
        </w:rPr>
      </w:pPr>
      <w:r>
        <w:rPr>
          <w:rFonts w:cs="+mn-cs"/>
          <w:color w:val="17365D"/>
          <w:sz w:val="36"/>
          <w:szCs w:val="36"/>
          <w:lang w:eastAsia="fr-FR"/>
        </w:rPr>
        <w:t>Diversification des secteurs d’activités</w:t>
      </w:r>
    </w:p>
    <w:p w:rsidR="00740144" w:rsidRDefault="00740144" w:rsidP="00D13FCC">
      <w:pPr>
        <w:spacing w:before="120" w:after="0" w:line="240" w:lineRule="auto"/>
        <w:jc w:val="both"/>
        <w:rPr>
          <w:rFonts w:cs="Arial"/>
          <w:sz w:val="24"/>
          <w:szCs w:val="24"/>
          <w:lang w:eastAsia="ar-SA"/>
        </w:rPr>
      </w:pPr>
      <w:r>
        <w:rPr>
          <w:rFonts w:cs="Arial"/>
          <w:sz w:val="24"/>
          <w:szCs w:val="24"/>
          <w:lang w:eastAsia="ar-SA"/>
        </w:rPr>
        <w:t xml:space="preserve">Le secteur du Bâtiment et des Travaux Publics reste majoritairement représenté. </w:t>
      </w:r>
    </w:p>
    <w:p w:rsidR="00740144" w:rsidRDefault="00740144" w:rsidP="00D13FCC">
      <w:pPr>
        <w:spacing w:before="120" w:after="0" w:line="240" w:lineRule="auto"/>
        <w:jc w:val="both"/>
        <w:rPr>
          <w:rFonts w:cs="Arial"/>
          <w:sz w:val="24"/>
          <w:szCs w:val="24"/>
          <w:lang w:eastAsia="ar-SA"/>
        </w:rPr>
      </w:pPr>
      <w:r>
        <w:rPr>
          <w:rFonts w:cs="Arial"/>
          <w:sz w:val="24"/>
          <w:szCs w:val="24"/>
          <w:lang w:eastAsia="ar-SA"/>
        </w:rPr>
        <w:t xml:space="preserve">Pour assurer la mixité des publics et toucher des profils plus qualifiés, une démarche de diversification de la nature des marchés intégrant une clause sociale doit être initiée auprès des donneurs d’ordres. </w:t>
      </w:r>
    </w:p>
    <w:p w:rsidR="00740144" w:rsidRDefault="00740144" w:rsidP="00D13FCC">
      <w:pPr>
        <w:spacing w:before="120" w:after="0" w:line="240" w:lineRule="auto"/>
        <w:jc w:val="both"/>
        <w:rPr>
          <w:rFonts w:cs="Arial"/>
          <w:sz w:val="24"/>
          <w:szCs w:val="24"/>
          <w:lang w:eastAsia="ar-SA"/>
        </w:rPr>
      </w:pPr>
      <w:r>
        <w:rPr>
          <w:rFonts w:cs="Arial"/>
          <w:sz w:val="24"/>
          <w:szCs w:val="24"/>
          <w:lang w:eastAsia="ar-SA"/>
        </w:rPr>
        <w:t xml:space="preserve">Elle nécessite une réflexion complète en termes d’activités, de réglementation (reprise du personnel), de type de marché (DSP, etc..). </w:t>
      </w:r>
    </w:p>
    <w:p w:rsidR="00740144" w:rsidRDefault="00740144" w:rsidP="00D13FCC">
      <w:pPr>
        <w:spacing w:before="120" w:after="0" w:line="240" w:lineRule="auto"/>
        <w:jc w:val="both"/>
        <w:rPr>
          <w:rFonts w:cs="Arial"/>
          <w:sz w:val="24"/>
          <w:szCs w:val="24"/>
          <w:lang w:eastAsia="ar-SA"/>
        </w:rPr>
      </w:pPr>
      <w:r>
        <w:rPr>
          <w:rFonts w:cs="Arial"/>
          <w:sz w:val="24"/>
          <w:szCs w:val="24"/>
          <w:lang w:eastAsia="ar-SA"/>
        </w:rPr>
        <w:t xml:space="preserve">Des secteurs pourraient être ciblés : </w:t>
      </w:r>
    </w:p>
    <w:p w:rsidR="00740144" w:rsidRDefault="00740144" w:rsidP="007B1357">
      <w:pPr>
        <w:pStyle w:val="Paragraphedeliste"/>
        <w:numPr>
          <w:ilvl w:val="0"/>
          <w:numId w:val="8"/>
        </w:numPr>
        <w:spacing w:before="120"/>
        <w:jc w:val="both"/>
        <w:rPr>
          <w:rFonts w:ascii="Calibri" w:hAnsi="Calibri"/>
        </w:rPr>
      </w:pPr>
      <w:r>
        <w:rPr>
          <w:rFonts w:ascii="Calibri" w:hAnsi="Calibri"/>
        </w:rPr>
        <w:t>Marché de p</w:t>
      </w:r>
      <w:r w:rsidRPr="007B1357">
        <w:rPr>
          <w:rFonts w:ascii="Calibri" w:hAnsi="Calibri"/>
        </w:rPr>
        <w:t>restations intellectuelles</w:t>
      </w:r>
      <w:r>
        <w:rPr>
          <w:rFonts w:ascii="Calibri" w:hAnsi="Calibri"/>
        </w:rPr>
        <w:t xml:space="preserve"> (informatique, études, etc.)</w:t>
      </w:r>
    </w:p>
    <w:p w:rsidR="00740144" w:rsidRPr="007B1357" w:rsidRDefault="00740144" w:rsidP="007B1357">
      <w:pPr>
        <w:pStyle w:val="Paragraphedeliste"/>
        <w:numPr>
          <w:ilvl w:val="0"/>
          <w:numId w:val="8"/>
        </w:numPr>
        <w:spacing w:before="120"/>
        <w:jc w:val="both"/>
        <w:rPr>
          <w:rFonts w:ascii="Calibri" w:hAnsi="Calibri"/>
        </w:rPr>
      </w:pPr>
      <w:r>
        <w:rPr>
          <w:rFonts w:ascii="Calibri" w:hAnsi="Calibri"/>
        </w:rPr>
        <w:t>Marché de services (restauration, enquête, blanchisserie, communication, imprimerie, etc.)</w:t>
      </w:r>
    </w:p>
    <w:p w:rsidR="00740144" w:rsidRDefault="00740144">
      <w:pPr>
        <w:rPr>
          <w:rFonts w:ascii="Franklin Gothic Book" w:hAnsi="Franklin Gothic Book"/>
          <w:b/>
          <w:color w:val="CC003F"/>
          <w:sz w:val="18"/>
          <w:szCs w:val="18"/>
          <w:lang w:eastAsia="ar-SA"/>
        </w:rPr>
      </w:pPr>
    </w:p>
    <w:p w:rsidR="00740144" w:rsidRPr="00D13FCC" w:rsidRDefault="00740144" w:rsidP="007B1357">
      <w:pPr>
        <w:numPr>
          <w:ilvl w:val="0"/>
          <w:numId w:val="1"/>
        </w:numPr>
        <w:tabs>
          <w:tab w:val="clear" w:pos="360"/>
          <w:tab w:val="num" w:pos="567"/>
        </w:tabs>
        <w:spacing w:after="0" w:line="240" w:lineRule="auto"/>
        <w:ind w:left="709" w:hanging="567"/>
        <w:contextualSpacing/>
        <w:rPr>
          <w:rFonts w:ascii="Times New Roman" w:hAnsi="Times New Roman"/>
          <w:color w:val="17365D"/>
          <w:sz w:val="36"/>
          <w:szCs w:val="24"/>
          <w:lang w:eastAsia="fr-FR"/>
        </w:rPr>
      </w:pPr>
      <w:r>
        <w:rPr>
          <w:rFonts w:cs="+mn-cs"/>
          <w:color w:val="17365D"/>
          <w:sz w:val="36"/>
          <w:szCs w:val="36"/>
          <w:lang w:eastAsia="fr-FR"/>
        </w:rPr>
        <w:t>Diversification des dispositions du code des marchés publics</w:t>
      </w:r>
    </w:p>
    <w:p w:rsidR="00740144" w:rsidRDefault="00740144" w:rsidP="00225887">
      <w:pPr>
        <w:rPr>
          <w:rFonts w:ascii="Franklin Gothic Book" w:hAnsi="Franklin Gothic Book"/>
          <w:b/>
          <w:color w:val="CC003F"/>
          <w:sz w:val="18"/>
          <w:szCs w:val="18"/>
          <w:lang w:eastAsia="ar-SA"/>
        </w:rPr>
      </w:pPr>
    </w:p>
    <w:p w:rsidR="00740144" w:rsidRDefault="00740144" w:rsidP="00716783">
      <w:pPr>
        <w:spacing w:before="120" w:after="0" w:line="240" w:lineRule="auto"/>
        <w:jc w:val="both"/>
        <w:rPr>
          <w:rFonts w:cs="Arial"/>
          <w:sz w:val="24"/>
          <w:szCs w:val="24"/>
          <w:lang w:eastAsia="ar-SA"/>
        </w:rPr>
      </w:pPr>
      <w:r>
        <w:rPr>
          <w:rFonts w:cs="Arial"/>
          <w:sz w:val="24"/>
          <w:szCs w:val="24"/>
          <w:lang w:eastAsia="ar-SA"/>
        </w:rPr>
        <w:t xml:space="preserve">Le recours à l’article 14 (l’insertion comme condition d’exécution) reste la disposition la plus utilisée par les donneurs d’ordres. Néanmoins pour l’année 2013, il est proposé aux donneurs d’ordre d’expérimenter d’autres dispositions : </w:t>
      </w:r>
    </w:p>
    <w:p w:rsidR="00740144" w:rsidRDefault="00740144" w:rsidP="00716783">
      <w:pPr>
        <w:spacing w:before="120" w:after="0" w:line="240" w:lineRule="auto"/>
        <w:jc w:val="both"/>
        <w:rPr>
          <w:rFonts w:cs="Arial"/>
          <w:sz w:val="24"/>
          <w:szCs w:val="24"/>
          <w:lang w:eastAsia="ar-SA"/>
        </w:rPr>
      </w:pPr>
    </w:p>
    <w:p w:rsidR="00740144" w:rsidRPr="00A134D0" w:rsidRDefault="00740144" w:rsidP="00225887">
      <w:pPr>
        <w:pStyle w:val="Paragraphedeliste"/>
        <w:numPr>
          <w:ilvl w:val="0"/>
          <w:numId w:val="8"/>
        </w:numPr>
        <w:spacing w:before="120"/>
        <w:jc w:val="both"/>
        <w:rPr>
          <w:rFonts w:ascii="Franklin Gothic Book" w:hAnsi="Franklin Gothic Book"/>
          <w:b/>
          <w:color w:val="CC003F"/>
          <w:sz w:val="18"/>
          <w:szCs w:val="18"/>
          <w:lang w:eastAsia="ar-SA"/>
        </w:rPr>
      </w:pPr>
      <w:r w:rsidRPr="00023F09">
        <w:rPr>
          <w:rFonts w:ascii="Calibri" w:hAnsi="Calibri" w:cs="Arial"/>
          <w:b/>
          <w:lang w:eastAsia="ar-SA"/>
        </w:rPr>
        <w:t>L’article 30 :</w:t>
      </w:r>
      <w:r w:rsidRPr="00716783">
        <w:rPr>
          <w:rFonts w:ascii="Calibri" w:hAnsi="Calibri" w:cs="Arial"/>
          <w:lang w:eastAsia="ar-SA"/>
        </w:rPr>
        <w:t xml:space="preserve"> marché d’insertion et de qualification professionnelle avec les bailleurs sociaux confié à un Atelier Chantier Insertion </w:t>
      </w:r>
      <w:r>
        <w:rPr>
          <w:rFonts w:ascii="Calibri" w:hAnsi="Calibri" w:cs="Arial"/>
          <w:lang w:eastAsia="ar-SA"/>
        </w:rPr>
        <w:t>en lien avec le projet PNRQAD.</w:t>
      </w:r>
    </w:p>
    <w:p w:rsidR="00740144" w:rsidRDefault="00740144" w:rsidP="00023F09">
      <w:pPr>
        <w:pStyle w:val="Paragraphedeliste"/>
        <w:spacing w:before="120"/>
        <w:jc w:val="both"/>
        <w:rPr>
          <w:rFonts w:ascii="Calibri" w:hAnsi="Calibri" w:cs="Arial"/>
          <w:lang w:eastAsia="ar-SA"/>
        </w:rPr>
      </w:pPr>
      <w:r>
        <w:rPr>
          <w:rFonts w:ascii="Calibri" w:hAnsi="Calibri" w:cs="Arial"/>
          <w:lang w:eastAsia="ar-SA"/>
        </w:rPr>
        <w:t xml:space="preserve">La Ville de Bordeaux porte déjà deux marchés d’insertion dont les résultats sont significatifs en termes de retour à l’emploi des publics grâce à la qualité de l’accompagnement socio-professionnel conduit par les deux associations intermédiaires attributaires. </w:t>
      </w:r>
    </w:p>
    <w:p w:rsidR="00740144" w:rsidRDefault="00740144" w:rsidP="00023F09">
      <w:pPr>
        <w:pStyle w:val="Paragraphedeliste"/>
        <w:spacing w:before="120"/>
        <w:jc w:val="both"/>
        <w:rPr>
          <w:rFonts w:ascii="Calibri" w:hAnsi="Calibri" w:cs="Arial"/>
          <w:lang w:eastAsia="ar-SA"/>
        </w:rPr>
      </w:pPr>
      <w:r>
        <w:rPr>
          <w:rFonts w:ascii="Calibri" w:hAnsi="Calibri" w:cs="Arial"/>
          <w:lang w:eastAsia="ar-SA"/>
        </w:rPr>
        <w:t>Toutefois, d’autres supports d’activités pourraient être identifiés et confiés aux structures d’insertion par l’activité économique.</w:t>
      </w:r>
    </w:p>
    <w:p w:rsidR="00740144" w:rsidRPr="00A134D0" w:rsidRDefault="00740144" w:rsidP="00023F09">
      <w:pPr>
        <w:pStyle w:val="Paragraphedeliste"/>
        <w:spacing w:before="120"/>
        <w:jc w:val="both"/>
        <w:rPr>
          <w:rFonts w:ascii="Franklin Gothic Book" w:hAnsi="Franklin Gothic Book"/>
          <w:b/>
          <w:color w:val="CC003F"/>
          <w:sz w:val="18"/>
          <w:szCs w:val="18"/>
          <w:lang w:eastAsia="ar-SA"/>
        </w:rPr>
      </w:pPr>
    </w:p>
    <w:p w:rsidR="00740144" w:rsidRPr="00A134D0" w:rsidRDefault="00740144" w:rsidP="00A134D0">
      <w:pPr>
        <w:pStyle w:val="Paragraphedeliste"/>
        <w:spacing w:before="120"/>
        <w:jc w:val="both"/>
        <w:rPr>
          <w:rFonts w:ascii="Franklin Gothic Book" w:hAnsi="Franklin Gothic Book"/>
          <w:b/>
          <w:color w:val="CC003F"/>
          <w:sz w:val="18"/>
          <w:szCs w:val="18"/>
          <w:lang w:eastAsia="ar-SA"/>
        </w:rPr>
      </w:pPr>
    </w:p>
    <w:p w:rsidR="00740144" w:rsidRPr="00A134D0" w:rsidRDefault="00740144" w:rsidP="00225887">
      <w:pPr>
        <w:pStyle w:val="Paragraphedeliste"/>
        <w:numPr>
          <w:ilvl w:val="0"/>
          <w:numId w:val="8"/>
        </w:numPr>
        <w:spacing w:before="120"/>
        <w:jc w:val="both"/>
        <w:rPr>
          <w:rFonts w:ascii="Franklin Gothic Book" w:hAnsi="Franklin Gothic Book"/>
          <w:b/>
          <w:color w:val="CC003F"/>
          <w:sz w:val="18"/>
          <w:szCs w:val="18"/>
          <w:lang w:eastAsia="ar-SA"/>
        </w:rPr>
      </w:pPr>
      <w:r w:rsidRPr="00023F09">
        <w:rPr>
          <w:rFonts w:ascii="Calibri" w:hAnsi="Calibri" w:cs="Arial"/>
          <w:b/>
          <w:lang w:eastAsia="ar-SA"/>
        </w:rPr>
        <w:t>L’article 14+53 :</w:t>
      </w:r>
      <w:r>
        <w:rPr>
          <w:rFonts w:ascii="Calibri" w:hAnsi="Calibri" w:cs="Arial"/>
          <w:lang w:eastAsia="ar-SA"/>
        </w:rPr>
        <w:t xml:space="preserve"> (l’insertion est une condition d’exécution et un critère de choix des entreprises). Seules deux directions de la Ville de Bordeaux utilisent cette modalité qui reste à essaimer auprès d’autres services.</w:t>
      </w:r>
    </w:p>
    <w:p w:rsidR="00740144" w:rsidRPr="00A134D0" w:rsidRDefault="00740144" w:rsidP="00A134D0">
      <w:pPr>
        <w:pStyle w:val="Paragraphedeliste"/>
        <w:rPr>
          <w:rFonts w:ascii="Franklin Gothic Book" w:hAnsi="Franklin Gothic Book"/>
          <w:b/>
          <w:color w:val="CC003F"/>
          <w:sz w:val="18"/>
          <w:szCs w:val="18"/>
          <w:lang w:eastAsia="ar-SA"/>
        </w:rPr>
      </w:pPr>
    </w:p>
    <w:p w:rsidR="00740144" w:rsidRPr="00A134D0" w:rsidRDefault="00740144" w:rsidP="00A134D0">
      <w:pPr>
        <w:pStyle w:val="Paragraphedeliste"/>
        <w:spacing w:before="120"/>
        <w:jc w:val="both"/>
        <w:rPr>
          <w:rFonts w:ascii="Franklin Gothic Book" w:hAnsi="Franklin Gothic Book"/>
          <w:b/>
          <w:color w:val="CC003F"/>
          <w:sz w:val="18"/>
          <w:szCs w:val="18"/>
          <w:lang w:eastAsia="ar-SA"/>
        </w:rPr>
      </w:pPr>
    </w:p>
    <w:p w:rsidR="00740144" w:rsidRPr="008A5156" w:rsidRDefault="00740144" w:rsidP="00225887">
      <w:pPr>
        <w:pStyle w:val="Paragraphedeliste"/>
        <w:numPr>
          <w:ilvl w:val="0"/>
          <w:numId w:val="8"/>
        </w:numPr>
        <w:spacing w:before="120"/>
        <w:jc w:val="both"/>
        <w:rPr>
          <w:rFonts w:ascii="Franklin Gothic Book" w:hAnsi="Franklin Gothic Book"/>
          <w:b/>
          <w:color w:val="CC003F"/>
          <w:sz w:val="18"/>
          <w:szCs w:val="18"/>
          <w:lang w:eastAsia="ar-SA"/>
        </w:rPr>
      </w:pPr>
      <w:r w:rsidRPr="00023F09">
        <w:rPr>
          <w:rFonts w:ascii="Calibri" w:hAnsi="Calibri" w:cs="Arial"/>
          <w:b/>
          <w:lang w:eastAsia="ar-SA"/>
        </w:rPr>
        <w:t>L’article 15</w:t>
      </w:r>
      <w:r>
        <w:rPr>
          <w:rFonts w:ascii="Calibri" w:hAnsi="Calibri" w:cs="Arial"/>
          <w:lang w:eastAsia="ar-SA"/>
        </w:rPr>
        <w:t> : marchés réservés aux entreprises adaptées (EA) ou Etablissements d’Aides par le Travail (ESAT) permettant à un public travailleurs handicapés de bénéficier d’une activité professionnelle.</w:t>
      </w:r>
    </w:p>
    <w:p w:rsidR="00740144" w:rsidRPr="00C30226" w:rsidRDefault="00740144" w:rsidP="008A5156">
      <w:pPr>
        <w:pStyle w:val="Paragraphedeliste"/>
        <w:spacing w:before="120"/>
        <w:jc w:val="both"/>
        <w:rPr>
          <w:rFonts w:ascii="Franklin Gothic Book" w:hAnsi="Franklin Gothic Book"/>
          <w:b/>
          <w:color w:val="CC003F"/>
          <w:sz w:val="18"/>
          <w:szCs w:val="18"/>
          <w:lang w:eastAsia="ar-SA"/>
        </w:rPr>
      </w:pPr>
    </w:p>
    <w:p w:rsidR="00740144" w:rsidRPr="005C03E5" w:rsidRDefault="00740144" w:rsidP="008A5156">
      <w:pPr>
        <w:pStyle w:val="Paragraphedeliste"/>
        <w:spacing w:before="120"/>
        <w:jc w:val="both"/>
        <w:rPr>
          <w:rFonts w:ascii="Franklin Gothic Book" w:hAnsi="Franklin Gothic Book"/>
          <w:color w:val="CC003F"/>
          <w:sz w:val="18"/>
          <w:szCs w:val="18"/>
          <w:lang w:eastAsia="ar-SA"/>
        </w:rPr>
      </w:pPr>
      <w:r w:rsidRPr="005C03E5">
        <w:rPr>
          <w:rFonts w:ascii="Calibri" w:hAnsi="Calibri" w:cs="Arial"/>
          <w:lang w:eastAsia="ar-SA"/>
        </w:rPr>
        <w:t>Le PLIE de Bordeaux n</w:t>
      </w:r>
      <w:r>
        <w:rPr>
          <w:rFonts w:ascii="Calibri" w:hAnsi="Calibri" w:cs="Arial"/>
          <w:lang w:eastAsia="ar-SA"/>
        </w:rPr>
        <w:t>’assure pas la gestion des marchés réservés. Une extension du cadre d’intervention du PLIE pourrait être envisagée notamment avec la Ville de Bordeaux.</w:t>
      </w:r>
    </w:p>
    <w:p w:rsidR="00740144" w:rsidRDefault="00740144">
      <w:pPr>
        <w:rPr>
          <w:rFonts w:ascii="Franklin Gothic Book" w:hAnsi="Franklin Gothic Book"/>
          <w:b/>
          <w:color w:val="CC003F"/>
          <w:sz w:val="18"/>
          <w:szCs w:val="18"/>
          <w:lang w:eastAsia="ar-SA"/>
        </w:rPr>
      </w:pPr>
      <w:r>
        <w:rPr>
          <w:rFonts w:ascii="Franklin Gothic Book" w:hAnsi="Franklin Gothic Book"/>
          <w:b/>
          <w:color w:val="CC003F"/>
          <w:sz w:val="18"/>
          <w:szCs w:val="18"/>
          <w:lang w:eastAsia="ar-SA"/>
        </w:rPr>
        <w:br w:type="page"/>
      </w:r>
    </w:p>
    <w:p w:rsidR="00740144" w:rsidRDefault="00771071" w:rsidP="00015A87">
      <w:pPr>
        <w:pStyle w:val="Paragraphedeliste"/>
        <w:spacing w:before="120"/>
        <w:ind w:left="0"/>
        <w:rPr>
          <w:b/>
        </w:rPr>
      </w:pPr>
      <w:r w:rsidRPr="007C4A7C">
        <w:rPr>
          <w:b/>
        </w:rPr>
        <w:pict>
          <v:shape id="_x0000_i1068" type="#_x0000_t136" style="width:26pt;height:32pt" fillcolor="#c0504d" strokecolor="white">
            <v:shadow on="t" color="white" offset="4pt,3pt" offset2="4pt,2pt"/>
            <o:extrusion v:ext="view" specularity="80000f" backdepth="15pt" color="white" rotationangle=",15" viewpoint="0,0" viewpointorigin="0,0" skewangle="0" skewamt="0" lightposition="-50000,-50000" lightposition2="50000" type="perspective"/>
            <v:textpath style="font-family:&quot;Franklin Gothic Heavy&quot;;font-size:28pt;font-weight:bold;v-text-kern:t" trim="t" fitpath="t" string="6"/>
          </v:shape>
        </w:pict>
      </w:r>
    </w:p>
    <w:p w:rsidR="00740144" w:rsidRDefault="00740144" w:rsidP="00015A87">
      <w:pPr>
        <w:pStyle w:val="Paragraphedeliste"/>
        <w:spacing w:before="120"/>
        <w:ind w:left="0"/>
        <w:rPr>
          <w:rFonts w:ascii="Franklin Gothic Book" w:hAnsi="Franklin Gothic Book"/>
          <w:b/>
          <w:color w:val="CC003F"/>
          <w:sz w:val="18"/>
          <w:szCs w:val="18"/>
          <w:lang w:eastAsia="ar-SA"/>
        </w:rPr>
      </w:pPr>
    </w:p>
    <w:p w:rsidR="00740144" w:rsidRDefault="00740144" w:rsidP="00015A87">
      <w:pPr>
        <w:pStyle w:val="Paragraphedeliste"/>
        <w:spacing w:before="120"/>
        <w:ind w:left="0"/>
        <w:rPr>
          <w:rFonts w:ascii="Franklin Gothic Book" w:hAnsi="Franklin Gothic Book"/>
          <w:b/>
          <w:color w:val="CC003F"/>
          <w:sz w:val="18"/>
          <w:szCs w:val="18"/>
          <w:lang w:eastAsia="ar-SA"/>
        </w:rPr>
      </w:pPr>
    </w:p>
    <w:p w:rsidR="00740144" w:rsidRDefault="00771071" w:rsidP="00015A87">
      <w:pPr>
        <w:pStyle w:val="Paragraphedeliste"/>
        <w:spacing w:before="120"/>
        <w:ind w:left="0"/>
        <w:rPr>
          <w:rFonts w:ascii="Franklin Gothic Book" w:hAnsi="Franklin Gothic Book"/>
          <w:b/>
          <w:color w:val="CC003F"/>
          <w:sz w:val="18"/>
          <w:szCs w:val="18"/>
          <w:lang w:eastAsia="ar-SA"/>
        </w:rPr>
      </w:pPr>
      <w:r>
        <w:rPr>
          <w:noProof/>
        </w:rPr>
        <w:drawing>
          <wp:inline distT="0" distB="0" distL="0" distR="0">
            <wp:extent cx="5765800" cy="771507"/>
            <wp:effectExtent l="0" t="12143" r="0" b="3750"/>
            <wp:docPr id="45" name="Diagramme 25"/>
            <wp:cNvGraphicFramePr>
              <a:graphicFrameLocks xmlns:a="http://schemas.openxmlformats.org/drawingml/2006/main"/>
            </wp:cNvGraphicFramePr>
            <a:graphic xmlns:a="http://schemas.openxmlformats.org/drawingml/2006/main">
              <a:graphicData uri="http://schemas.openxmlformats.org/drawingml/2006/diagram">
                <a:relIds xmlns:dgm="http://schemas.openxmlformats.org/drawingml/2006/diagram" xmlns:r="http://schemas.openxmlformats.org/officeDocument/2006/relationships" r:dm="rId119" r:lo="rId120" r:qs="rId121" r:cs="rId122"/>
              </a:graphicData>
            </a:graphic>
          </wp:inline>
        </w:drawing>
      </w:r>
    </w:p>
    <w:p w:rsidR="00740144" w:rsidRDefault="00740144" w:rsidP="00015A87">
      <w:pPr>
        <w:pStyle w:val="Paragraphedeliste"/>
        <w:spacing w:before="120"/>
        <w:ind w:left="0"/>
        <w:rPr>
          <w:rFonts w:ascii="Franklin Gothic Book" w:hAnsi="Franklin Gothic Book"/>
          <w:b/>
          <w:color w:val="CC003F"/>
          <w:sz w:val="18"/>
          <w:szCs w:val="18"/>
          <w:lang w:eastAsia="ar-SA"/>
        </w:rPr>
      </w:pPr>
    </w:p>
    <w:p w:rsidR="00740144" w:rsidRDefault="00740144" w:rsidP="00015A87">
      <w:pPr>
        <w:pStyle w:val="Paragraphedeliste"/>
        <w:spacing w:before="120"/>
        <w:ind w:left="0"/>
        <w:rPr>
          <w:rFonts w:ascii="Franklin Gothic Book" w:hAnsi="Franklin Gothic Book"/>
          <w:b/>
          <w:color w:val="CC003F"/>
          <w:sz w:val="18"/>
          <w:szCs w:val="18"/>
          <w:lang w:eastAsia="ar-SA"/>
        </w:rPr>
      </w:pPr>
    </w:p>
    <w:p w:rsidR="00740144" w:rsidRDefault="00771071" w:rsidP="00015A87">
      <w:pPr>
        <w:pStyle w:val="Paragraphedeliste"/>
        <w:spacing w:before="120"/>
        <w:ind w:left="0"/>
        <w:rPr>
          <w:rFonts w:ascii="Franklin Gothic Book" w:hAnsi="Franklin Gothic Book"/>
          <w:b/>
          <w:color w:val="CC003F"/>
          <w:sz w:val="18"/>
          <w:szCs w:val="18"/>
          <w:lang w:eastAsia="ar-SA"/>
        </w:rPr>
      </w:pPr>
      <w:r>
        <w:rPr>
          <w:noProof/>
        </w:rPr>
        <w:drawing>
          <wp:inline distT="0" distB="0" distL="0" distR="0">
            <wp:extent cx="5759701" cy="698500"/>
            <wp:effectExtent l="6099" t="0" r="0" b="0"/>
            <wp:docPr id="46" name="Diagramme 29"/>
            <wp:cNvGraphicFramePr>
              <a:graphicFrameLocks xmlns:a="http://schemas.openxmlformats.org/drawingml/2006/main"/>
            </wp:cNvGraphicFramePr>
            <a:graphic xmlns:a="http://schemas.openxmlformats.org/drawingml/2006/main">
              <a:graphicData uri="http://schemas.openxmlformats.org/drawingml/2006/diagram">
                <a:relIds xmlns:dgm="http://schemas.openxmlformats.org/drawingml/2006/diagram" xmlns:r="http://schemas.openxmlformats.org/officeDocument/2006/relationships" r:dm="rId124" r:lo="rId125" r:qs="rId126" r:cs="rId127"/>
              </a:graphicData>
            </a:graphic>
          </wp:inline>
        </w:drawing>
      </w:r>
    </w:p>
    <w:p w:rsidR="00740144" w:rsidRDefault="00740144" w:rsidP="00015A87">
      <w:pPr>
        <w:pStyle w:val="Paragraphedeliste"/>
        <w:spacing w:before="120"/>
        <w:ind w:left="0"/>
        <w:rPr>
          <w:rFonts w:ascii="Franklin Gothic Book" w:hAnsi="Franklin Gothic Book"/>
          <w:b/>
          <w:color w:val="CC003F"/>
          <w:sz w:val="18"/>
          <w:szCs w:val="18"/>
          <w:lang w:eastAsia="ar-SA"/>
        </w:rPr>
      </w:pPr>
    </w:p>
    <w:p w:rsidR="00740144" w:rsidRDefault="00740144" w:rsidP="00015A87">
      <w:pPr>
        <w:pStyle w:val="Paragraphedeliste"/>
        <w:spacing w:before="120"/>
        <w:ind w:left="0"/>
        <w:rPr>
          <w:rFonts w:ascii="Calibri" w:hAnsi="Calibri"/>
          <w:lang w:eastAsia="ar-SA"/>
        </w:rPr>
      </w:pPr>
      <w:r>
        <w:rPr>
          <w:rFonts w:ascii="Calibri" w:hAnsi="Calibri"/>
          <w:lang w:eastAsia="ar-SA"/>
        </w:rPr>
        <w:t xml:space="preserve">L’équipe Clauses Sociales du PLIE de Bordeaux met en œuvre, en lien avec ses partenaires, une ingénierie de formation permettant : </w:t>
      </w:r>
    </w:p>
    <w:p w:rsidR="00740144" w:rsidRDefault="00740144" w:rsidP="00015A87">
      <w:pPr>
        <w:pStyle w:val="Paragraphedeliste"/>
        <w:spacing w:before="120"/>
        <w:ind w:left="0"/>
        <w:rPr>
          <w:rFonts w:ascii="Calibri" w:hAnsi="Calibri"/>
          <w:lang w:eastAsia="ar-SA"/>
        </w:rPr>
      </w:pPr>
    </w:p>
    <w:p w:rsidR="00740144" w:rsidRDefault="00740144" w:rsidP="00E6757E">
      <w:pPr>
        <w:pStyle w:val="Paragraphedeliste"/>
        <w:numPr>
          <w:ilvl w:val="0"/>
          <w:numId w:val="8"/>
        </w:numPr>
        <w:spacing w:before="120"/>
        <w:jc w:val="both"/>
        <w:rPr>
          <w:rFonts w:ascii="Calibri" w:hAnsi="Calibri"/>
          <w:lang w:eastAsia="ar-SA"/>
        </w:rPr>
      </w:pPr>
      <w:r>
        <w:rPr>
          <w:rFonts w:ascii="Calibri" w:hAnsi="Calibri"/>
          <w:lang w:eastAsia="ar-SA"/>
        </w:rPr>
        <w:t>De préparer les publics à intégrer une mission « clause » en entreprise par des actions de pré-qualification. Son objectif est d’améliorer leur employabilité par l’acquisition de gestes techniques de base en lien avec le futur métier proposé.</w:t>
      </w:r>
    </w:p>
    <w:p w:rsidR="00740144" w:rsidRDefault="00740144" w:rsidP="00D7177D">
      <w:pPr>
        <w:pStyle w:val="Paragraphedeliste"/>
        <w:spacing w:before="120"/>
        <w:rPr>
          <w:rFonts w:ascii="Calibri" w:hAnsi="Calibri"/>
          <w:lang w:eastAsia="ar-SA"/>
        </w:rPr>
      </w:pPr>
    </w:p>
    <w:p w:rsidR="00740144" w:rsidRPr="00D7177D" w:rsidRDefault="00740144" w:rsidP="00E6757E">
      <w:pPr>
        <w:pStyle w:val="Paragraphedeliste"/>
        <w:numPr>
          <w:ilvl w:val="0"/>
          <w:numId w:val="8"/>
        </w:numPr>
        <w:spacing w:before="120"/>
        <w:jc w:val="both"/>
        <w:rPr>
          <w:rFonts w:ascii="Calibri" w:hAnsi="Calibri"/>
          <w:lang w:eastAsia="ar-SA"/>
        </w:rPr>
      </w:pPr>
      <w:r>
        <w:rPr>
          <w:rFonts w:ascii="Calibri" w:hAnsi="Calibri"/>
          <w:lang w:eastAsia="ar-SA"/>
        </w:rPr>
        <w:t>De sécuriser les parcours d’insertion mis en œuvre par les Structures d’Insertion par l’Activité Economique en permettant la mise en place de parcours qualifiants intégrés concourant à favoriser leur accès à un emploi durable à l’issu de la clause sociale.</w:t>
      </w:r>
    </w:p>
    <w:p w:rsidR="00740144" w:rsidRDefault="00740144" w:rsidP="008E2A6F">
      <w:pPr>
        <w:rPr>
          <w:rFonts w:ascii="Franklin Gothic Book" w:hAnsi="Franklin Gothic Book"/>
          <w:b/>
          <w:color w:val="CC003F"/>
          <w:sz w:val="18"/>
          <w:szCs w:val="18"/>
          <w:lang w:eastAsia="ar-SA"/>
        </w:rPr>
      </w:pPr>
    </w:p>
    <w:p w:rsidR="00740144" w:rsidRPr="00197C59" w:rsidRDefault="00740144" w:rsidP="008E2A6F">
      <w:pPr>
        <w:numPr>
          <w:ilvl w:val="0"/>
          <w:numId w:val="1"/>
        </w:numPr>
        <w:tabs>
          <w:tab w:val="clear" w:pos="360"/>
          <w:tab w:val="num" w:pos="567"/>
        </w:tabs>
        <w:spacing w:after="0" w:line="240" w:lineRule="auto"/>
        <w:ind w:left="709" w:hanging="567"/>
        <w:contextualSpacing/>
        <w:rPr>
          <w:color w:val="C0504D"/>
          <w:sz w:val="36"/>
          <w:szCs w:val="24"/>
          <w:lang w:eastAsia="fr-FR"/>
        </w:rPr>
      </w:pPr>
      <w:r w:rsidRPr="00197C59">
        <w:rPr>
          <w:color w:val="C0504D"/>
          <w:sz w:val="36"/>
          <w:szCs w:val="24"/>
          <w:lang w:eastAsia="fr-FR"/>
        </w:rPr>
        <w:t>Le chantier formation</w:t>
      </w:r>
      <w:r>
        <w:rPr>
          <w:color w:val="C0504D"/>
          <w:sz w:val="36"/>
          <w:szCs w:val="24"/>
          <w:lang w:eastAsia="fr-FR"/>
        </w:rPr>
        <w:t xml:space="preserve"> « le 102 »</w:t>
      </w:r>
    </w:p>
    <w:p w:rsidR="00740144" w:rsidRDefault="00740144" w:rsidP="008E2A6F">
      <w:pPr>
        <w:rPr>
          <w:rFonts w:ascii="Franklin Gothic Book" w:hAnsi="Franklin Gothic Book"/>
          <w:b/>
          <w:color w:val="CC003F"/>
          <w:sz w:val="18"/>
          <w:szCs w:val="18"/>
          <w:lang w:eastAsia="ar-SA"/>
        </w:rPr>
      </w:pPr>
    </w:p>
    <w:p w:rsidR="00740144" w:rsidRDefault="00740144" w:rsidP="006F5DC5">
      <w:pPr>
        <w:pStyle w:val="Paragraphedeliste"/>
        <w:spacing w:before="120"/>
        <w:ind w:left="0"/>
        <w:jc w:val="both"/>
        <w:rPr>
          <w:rFonts w:ascii="Calibri" w:hAnsi="Calibri"/>
          <w:lang w:eastAsia="ar-SA"/>
        </w:rPr>
      </w:pPr>
      <w:r>
        <w:rPr>
          <w:rFonts w:ascii="Calibri" w:hAnsi="Calibri"/>
          <w:lang w:eastAsia="ar-SA"/>
        </w:rPr>
        <w:t>Le PLIE de Bordeaux s’est associé au projet de chantier formation conduit par Domofrance dans le cadre de la rénovation d’</w:t>
      </w:r>
      <w:r w:rsidRPr="00197C59">
        <w:rPr>
          <w:rFonts w:ascii="Calibri" w:hAnsi="Calibri"/>
          <w:lang w:eastAsia="ar-SA"/>
        </w:rPr>
        <w:t xml:space="preserve">un logement </w:t>
      </w:r>
      <w:r>
        <w:rPr>
          <w:rFonts w:ascii="Calibri" w:hAnsi="Calibri"/>
          <w:lang w:eastAsia="ar-SA"/>
        </w:rPr>
        <w:t>dans le centre ancien Ville de Bordeaux, en partenariat avec Pôle Emploi, Constructys et Batiform.</w:t>
      </w:r>
    </w:p>
    <w:p w:rsidR="00740144" w:rsidRDefault="00740144" w:rsidP="006F5DC5">
      <w:pPr>
        <w:pStyle w:val="Paragraphedeliste"/>
        <w:spacing w:before="120"/>
        <w:ind w:left="0"/>
        <w:jc w:val="both"/>
        <w:rPr>
          <w:rFonts w:ascii="Calibri" w:hAnsi="Calibri"/>
          <w:lang w:eastAsia="ar-SA"/>
        </w:rPr>
      </w:pPr>
    </w:p>
    <w:p w:rsidR="00740144" w:rsidRDefault="00740144" w:rsidP="006F5DC5">
      <w:pPr>
        <w:pStyle w:val="Paragraphedeliste"/>
        <w:spacing w:before="120"/>
        <w:ind w:left="0"/>
        <w:jc w:val="both"/>
        <w:rPr>
          <w:rFonts w:ascii="Calibri" w:hAnsi="Calibri"/>
          <w:lang w:eastAsia="ar-SA"/>
        </w:rPr>
      </w:pPr>
      <w:r>
        <w:rPr>
          <w:rFonts w:ascii="Calibri" w:hAnsi="Calibri"/>
          <w:lang w:eastAsia="ar-SA"/>
        </w:rPr>
        <w:t xml:space="preserve">De juin à octobre 2012, cette action de formation en situation réelle de production, a permis à 15 stagiaires, dont 6 participants du PLIE de Bordeaux, </w:t>
      </w:r>
      <w:r w:rsidRPr="00197C59">
        <w:rPr>
          <w:rFonts w:ascii="Calibri" w:hAnsi="Calibri"/>
          <w:lang w:eastAsia="ar-SA"/>
        </w:rPr>
        <w:t>d’acquérir des compétences de base dans les métie</w:t>
      </w:r>
      <w:r>
        <w:rPr>
          <w:rFonts w:ascii="Calibri" w:hAnsi="Calibri"/>
          <w:lang w:eastAsia="ar-SA"/>
        </w:rPr>
        <w:t xml:space="preserve">rs du second œuvre du bâtiment. </w:t>
      </w:r>
    </w:p>
    <w:p w:rsidR="00740144" w:rsidRDefault="00740144" w:rsidP="006F5DC5">
      <w:pPr>
        <w:pStyle w:val="Paragraphedeliste"/>
        <w:spacing w:before="120"/>
        <w:ind w:left="0"/>
        <w:jc w:val="both"/>
        <w:rPr>
          <w:rFonts w:cs="Calibri"/>
        </w:rPr>
      </w:pPr>
    </w:p>
    <w:p w:rsidR="00740144" w:rsidRPr="00CB22D3" w:rsidRDefault="00740144" w:rsidP="00CB22D3">
      <w:pPr>
        <w:spacing w:after="0" w:line="240" w:lineRule="auto"/>
        <w:jc w:val="both"/>
        <w:rPr>
          <w:rFonts w:cs="Calibri"/>
          <w:sz w:val="24"/>
          <w:szCs w:val="24"/>
        </w:rPr>
      </w:pPr>
      <w:r w:rsidRPr="008E2A6F">
        <w:rPr>
          <w:rFonts w:cs="Calibri"/>
          <w:sz w:val="24"/>
          <w:szCs w:val="24"/>
        </w:rPr>
        <w:t>A travers cette action</w:t>
      </w:r>
      <w:r>
        <w:rPr>
          <w:rFonts w:cs="Calibri"/>
          <w:sz w:val="24"/>
          <w:szCs w:val="24"/>
        </w:rPr>
        <w:t>,</w:t>
      </w:r>
      <w:r w:rsidRPr="008E2A6F">
        <w:rPr>
          <w:rFonts w:cs="Calibri"/>
          <w:sz w:val="24"/>
          <w:szCs w:val="24"/>
        </w:rPr>
        <w:t xml:space="preserve"> le Plie </w:t>
      </w:r>
      <w:r w:rsidRPr="008E2A6F">
        <w:rPr>
          <w:rFonts w:cs="Calibri"/>
          <w:b/>
          <w:sz w:val="24"/>
          <w:szCs w:val="24"/>
        </w:rPr>
        <w:t>permet aux entreprises attributaires des marchés « clausés » de répondre à leur engagement</w:t>
      </w:r>
      <w:r w:rsidRPr="008E2A6F">
        <w:rPr>
          <w:rFonts w:cs="Calibri"/>
          <w:sz w:val="24"/>
          <w:szCs w:val="24"/>
        </w:rPr>
        <w:t xml:space="preserve"> en intégrant des participants qui ont déjà acquis les premiers gestes de base d’un métier et conforté leur projet professionnel.</w:t>
      </w:r>
    </w:p>
    <w:p w:rsidR="00740144" w:rsidRPr="008E2A6F" w:rsidRDefault="00740144" w:rsidP="00CB22D3">
      <w:pPr>
        <w:spacing w:after="0" w:line="240" w:lineRule="auto"/>
        <w:jc w:val="both"/>
        <w:rPr>
          <w:rFonts w:cs="Calibri"/>
        </w:rPr>
      </w:pPr>
    </w:p>
    <w:p w:rsidR="00740144" w:rsidRPr="008E2A6F" w:rsidRDefault="00740144" w:rsidP="00CB22D3">
      <w:pPr>
        <w:spacing w:after="0" w:line="240" w:lineRule="auto"/>
        <w:jc w:val="both"/>
        <w:rPr>
          <w:rFonts w:cs="Calibri"/>
          <w:sz w:val="24"/>
          <w:szCs w:val="24"/>
        </w:rPr>
      </w:pPr>
      <w:r w:rsidRPr="008E2A6F">
        <w:rPr>
          <w:rFonts w:cs="Calibri"/>
          <w:b/>
          <w:sz w:val="24"/>
          <w:szCs w:val="24"/>
        </w:rPr>
        <w:t>Situation des stagiaires à la fin de l’action</w:t>
      </w:r>
      <w:r w:rsidRPr="008E2A6F">
        <w:rPr>
          <w:rFonts w:cs="Calibri"/>
          <w:sz w:val="24"/>
          <w:szCs w:val="24"/>
        </w:rPr>
        <w:t> :</w:t>
      </w:r>
    </w:p>
    <w:p w:rsidR="00740144" w:rsidRPr="008E2A6F" w:rsidRDefault="00740144" w:rsidP="00CB22D3">
      <w:pPr>
        <w:spacing w:after="0" w:line="240" w:lineRule="auto"/>
        <w:rPr>
          <w:rFonts w:cs="Calibri"/>
          <w:sz w:val="24"/>
          <w:szCs w:val="24"/>
        </w:rPr>
      </w:pPr>
      <w:r>
        <w:rPr>
          <w:rFonts w:cs="Calibri"/>
          <w:sz w:val="24"/>
          <w:szCs w:val="24"/>
        </w:rPr>
        <w:t>- 13 sont dans un parcours emploi ou formation qualifiante notamment dans le cadre de la clause sociale</w:t>
      </w:r>
      <w:r w:rsidRPr="008E2A6F">
        <w:rPr>
          <w:rFonts w:cs="Calibri"/>
          <w:sz w:val="24"/>
          <w:szCs w:val="24"/>
        </w:rPr>
        <w:t xml:space="preserve"> : missions d’intérim d’insertion, </w:t>
      </w:r>
    </w:p>
    <w:p w:rsidR="00740144" w:rsidRPr="008E2A6F" w:rsidRDefault="00740144" w:rsidP="00CB22D3">
      <w:pPr>
        <w:spacing w:after="0" w:line="240" w:lineRule="auto"/>
        <w:jc w:val="both"/>
        <w:rPr>
          <w:rFonts w:cs="Calibri"/>
          <w:sz w:val="24"/>
          <w:szCs w:val="24"/>
        </w:rPr>
      </w:pPr>
      <w:r>
        <w:rPr>
          <w:rFonts w:cs="Calibri"/>
          <w:sz w:val="24"/>
          <w:szCs w:val="24"/>
        </w:rPr>
        <w:t xml:space="preserve">- </w:t>
      </w:r>
      <w:r w:rsidRPr="008E2A6F">
        <w:rPr>
          <w:rFonts w:cs="Calibri"/>
          <w:sz w:val="24"/>
          <w:szCs w:val="24"/>
        </w:rPr>
        <w:t>3 stagiaires sont encore ac</w:t>
      </w:r>
      <w:r>
        <w:rPr>
          <w:rFonts w:cs="Calibri"/>
          <w:sz w:val="24"/>
          <w:szCs w:val="24"/>
        </w:rPr>
        <w:t>compagnés par leur prescripteur.</w:t>
      </w:r>
    </w:p>
    <w:p w:rsidR="00740144" w:rsidRDefault="00740144">
      <w:pPr>
        <w:rPr>
          <w:rFonts w:cs="Calibri"/>
        </w:rPr>
      </w:pPr>
      <w:r>
        <w:rPr>
          <w:rFonts w:cs="Calibri"/>
        </w:rPr>
        <w:br w:type="page"/>
      </w:r>
    </w:p>
    <w:p w:rsidR="00740144" w:rsidRPr="00197C59" w:rsidRDefault="00740144" w:rsidP="00DA0913">
      <w:pPr>
        <w:numPr>
          <w:ilvl w:val="0"/>
          <w:numId w:val="1"/>
        </w:numPr>
        <w:tabs>
          <w:tab w:val="clear" w:pos="360"/>
          <w:tab w:val="num" w:pos="567"/>
        </w:tabs>
        <w:spacing w:after="0" w:line="240" w:lineRule="auto"/>
        <w:ind w:left="567" w:hanging="425"/>
        <w:contextualSpacing/>
        <w:rPr>
          <w:color w:val="C0504D"/>
          <w:sz w:val="36"/>
          <w:szCs w:val="24"/>
          <w:lang w:eastAsia="fr-FR"/>
        </w:rPr>
      </w:pPr>
      <w:r>
        <w:rPr>
          <w:color w:val="C0504D"/>
          <w:sz w:val="36"/>
          <w:szCs w:val="24"/>
          <w:lang w:eastAsia="fr-FR"/>
        </w:rPr>
        <w:t>Une ingénierie de formation en soutien des Structures d’Insertion par l’Activité Economique</w:t>
      </w:r>
    </w:p>
    <w:p w:rsidR="00740144" w:rsidRPr="008E2A6F" w:rsidRDefault="00740144" w:rsidP="00EF74E8">
      <w:pPr>
        <w:spacing w:after="0"/>
        <w:jc w:val="both"/>
        <w:rPr>
          <w:rFonts w:cs="Calibri"/>
        </w:rPr>
      </w:pPr>
    </w:p>
    <w:p w:rsidR="00740144" w:rsidRPr="00E6757E" w:rsidRDefault="00740144" w:rsidP="008E2A6F">
      <w:pPr>
        <w:widowControl w:val="0"/>
        <w:tabs>
          <w:tab w:val="left" w:pos="0"/>
        </w:tabs>
        <w:suppressAutoHyphens/>
        <w:autoSpaceDN w:val="0"/>
        <w:spacing w:before="113" w:after="57" w:line="240" w:lineRule="auto"/>
        <w:jc w:val="both"/>
        <w:textAlignment w:val="baseline"/>
        <w:rPr>
          <w:rFonts w:cs="Calibri"/>
          <w:color w:val="000000"/>
          <w:kern w:val="3"/>
          <w:sz w:val="24"/>
          <w:szCs w:val="24"/>
          <w:lang w:eastAsia="zh-CN"/>
        </w:rPr>
      </w:pPr>
      <w:r>
        <w:rPr>
          <w:rFonts w:cs="Calibri"/>
          <w:color w:val="000000"/>
          <w:kern w:val="3"/>
          <w:sz w:val="24"/>
          <w:szCs w:val="24"/>
          <w:lang w:eastAsia="zh-CN"/>
        </w:rPr>
        <w:t>Pour renforcer l’accompagnement socio-professionnel conduit par BIC et ARE 33 auprès de ses salariés</w:t>
      </w:r>
      <w:r w:rsidRPr="00E6757E">
        <w:rPr>
          <w:rFonts w:cs="Calibri"/>
          <w:color w:val="000000"/>
          <w:kern w:val="3"/>
          <w:sz w:val="24"/>
          <w:szCs w:val="24"/>
          <w:lang w:eastAsia="zh-CN"/>
        </w:rPr>
        <w:t xml:space="preserve"> mis à disposition dans les écoles publiques de la Ville de Bordeaux</w:t>
      </w:r>
      <w:r>
        <w:rPr>
          <w:rFonts w:cs="Calibri"/>
          <w:color w:val="000000"/>
          <w:kern w:val="3"/>
          <w:sz w:val="24"/>
          <w:szCs w:val="24"/>
          <w:lang w:eastAsia="zh-CN"/>
        </w:rPr>
        <w:t xml:space="preserve">, le PLIE de Bordeaux a apporté son soutien en finançant deux projets : </w:t>
      </w:r>
    </w:p>
    <w:p w:rsidR="00740144" w:rsidRDefault="00740144" w:rsidP="00EB070E">
      <w:pPr>
        <w:widowControl w:val="0"/>
        <w:tabs>
          <w:tab w:val="left" w:pos="0"/>
        </w:tabs>
        <w:suppressAutoHyphens/>
        <w:autoSpaceDN w:val="0"/>
        <w:spacing w:after="0" w:line="240" w:lineRule="auto"/>
        <w:jc w:val="both"/>
        <w:textAlignment w:val="baseline"/>
        <w:rPr>
          <w:rFonts w:cs="Calibri"/>
          <w:color w:val="000000"/>
          <w:kern w:val="3"/>
          <w:sz w:val="24"/>
          <w:szCs w:val="24"/>
          <w:lang w:eastAsia="zh-CN"/>
        </w:rPr>
      </w:pPr>
      <w:r>
        <w:rPr>
          <w:rFonts w:cs="Calibri"/>
          <w:color w:val="000000"/>
          <w:kern w:val="3"/>
          <w:sz w:val="24"/>
          <w:szCs w:val="24"/>
          <w:lang w:eastAsia="zh-CN"/>
        </w:rPr>
        <w:t xml:space="preserve">- </w:t>
      </w:r>
      <w:r w:rsidRPr="00E6757E">
        <w:rPr>
          <w:rFonts w:cs="Calibri"/>
          <w:color w:val="000000"/>
          <w:kern w:val="3"/>
          <w:sz w:val="24"/>
          <w:szCs w:val="24"/>
          <w:lang w:eastAsia="zh-CN"/>
        </w:rPr>
        <w:t>U</w:t>
      </w:r>
      <w:r>
        <w:rPr>
          <w:rFonts w:cs="Calibri"/>
          <w:color w:val="000000"/>
          <w:kern w:val="3"/>
          <w:sz w:val="24"/>
          <w:szCs w:val="24"/>
          <w:lang w:eastAsia="zh-CN"/>
        </w:rPr>
        <w:t xml:space="preserve">ne action de formation qualifiante </w:t>
      </w:r>
      <w:r w:rsidRPr="00E6757E">
        <w:rPr>
          <w:rFonts w:cs="Calibri"/>
          <w:color w:val="000000"/>
          <w:kern w:val="3"/>
          <w:sz w:val="24"/>
          <w:szCs w:val="24"/>
          <w:lang w:eastAsia="zh-CN"/>
        </w:rPr>
        <w:t xml:space="preserve">au </w:t>
      </w:r>
      <w:r w:rsidRPr="00E6757E">
        <w:rPr>
          <w:rFonts w:cs="Calibri"/>
          <w:b/>
          <w:color w:val="000000"/>
          <w:kern w:val="3"/>
          <w:sz w:val="24"/>
          <w:szCs w:val="24"/>
          <w:lang w:eastAsia="zh-CN"/>
        </w:rPr>
        <w:t>Titre Professionnel d’Agent de Propreté et d’Hygiène,</w:t>
      </w:r>
      <w:r w:rsidRPr="00E6757E">
        <w:rPr>
          <w:rFonts w:cs="Calibri"/>
          <w:color w:val="000000"/>
          <w:kern w:val="3"/>
          <w:sz w:val="24"/>
          <w:szCs w:val="24"/>
          <w:lang w:eastAsia="zh-CN"/>
        </w:rPr>
        <w:t xml:space="preserve"> </w:t>
      </w:r>
      <w:r>
        <w:rPr>
          <w:rFonts w:cs="Calibri"/>
          <w:color w:val="000000"/>
          <w:kern w:val="3"/>
          <w:sz w:val="24"/>
          <w:szCs w:val="24"/>
          <w:lang w:eastAsia="zh-CN"/>
        </w:rPr>
        <w:t xml:space="preserve">en partenariat avec l’AFPA, </w:t>
      </w:r>
      <w:r w:rsidRPr="00E6757E">
        <w:rPr>
          <w:rFonts w:cs="Calibri"/>
          <w:color w:val="000000"/>
          <w:kern w:val="3"/>
          <w:sz w:val="24"/>
          <w:szCs w:val="24"/>
          <w:lang w:eastAsia="zh-CN"/>
        </w:rPr>
        <w:t>pour 11 salariés des associations intermédiaires</w:t>
      </w:r>
      <w:r>
        <w:rPr>
          <w:rFonts w:cs="Calibri"/>
          <w:color w:val="000000"/>
          <w:kern w:val="3"/>
          <w:sz w:val="24"/>
          <w:szCs w:val="24"/>
          <w:lang w:eastAsia="zh-CN"/>
        </w:rPr>
        <w:t>.</w:t>
      </w:r>
    </w:p>
    <w:p w:rsidR="00740144" w:rsidRDefault="00740144" w:rsidP="00EB070E">
      <w:pPr>
        <w:widowControl w:val="0"/>
        <w:tabs>
          <w:tab w:val="left" w:pos="0"/>
        </w:tabs>
        <w:suppressAutoHyphens/>
        <w:autoSpaceDN w:val="0"/>
        <w:spacing w:after="0" w:line="240" w:lineRule="auto"/>
        <w:jc w:val="both"/>
        <w:textAlignment w:val="baseline"/>
        <w:rPr>
          <w:rFonts w:cs="Calibri"/>
          <w:sz w:val="24"/>
          <w:szCs w:val="24"/>
        </w:rPr>
      </w:pPr>
      <w:r w:rsidRPr="00E6757E">
        <w:rPr>
          <w:rFonts w:cs="Calibri"/>
          <w:sz w:val="24"/>
          <w:szCs w:val="24"/>
        </w:rPr>
        <w:t xml:space="preserve">A l’issue de la formation en juillet 2012, la totalité du groupe </w:t>
      </w:r>
      <w:r>
        <w:rPr>
          <w:rFonts w:cs="Calibri"/>
          <w:sz w:val="24"/>
          <w:szCs w:val="24"/>
        </w:rPr>
        <w:t>a obtenu ce titre professionnel.</w:t>
      </w:r>
    </w:p>
    <w:p w:rsidR="00740144" w:rsidRDefault="00740144" w:rsidP="00EB070E">
      <w:pPr>
        <w:widowControl w:val="0"/>
        <w:tabs>
          <w:tab w:val="left" w:pos="0"/>
        </w:tabs>
        <w:suppressAutoHyphens/>
        <w:autoSpaceDN w:val="0"/>
        <w:spacing w:after="0" w:line="240" w:lineRule="auto"/>
        <w:jc w:val="both"/>
        <w:textAlignment w:val="baseline"/>
        <w:rPr>
          <w:rFonts w:cs="Calibri"/>
          <w:color w:val="000000"/>
          <w:kern w:val="3"/>
          <w:sz w:val="24"/>
          <w:szCs w:val="24"/>
          <w:lang w:eastAsia="zh-CN"/>
        </w:rPr>
      </w:pPr>
    </w:p>
    <w:p w:rsidR="00740144" w:rsidRPr="00E6757E" w:rsidRDefault="00740144" w:rsidP="00EB070E">
      <w:pPr>
        <w:widowControl w:val="0"/>
        <w:tabs>
          <w:tab w:val="left" w:pos="0"/>
        </w:tabs>
        <w:suppressAutoHyphens/>
        <w:autoSpaceDN w:val="0"/>
        <w:spacing w:after="0" w:line="240" w:lineRule="auto"/>
        <w:jc w:val="both"/>
        <w:textAlignment w:val="baseline"/>
        <w:rPr>
          <w:rFonts w:cs="Calibri"/>
          <w:b/>
          <w:color w:val="000000"/>
          <w:kern w:val="3"/>
          <w:sz w:val="24"/>
          <w:szCs w:val="24"/>
          <w:lang w:eastAsia="zh-CN"/>
        </w:rPr>
      </w:pPr>
      <w:r>
        <w:rPr>
          <w:rFonts w:cs="Calibri"/>
          <w:color w:val="000000"/>
          <w:kern w:val="3"/>
          <w:sz w:val="24"/>
          <w:szCs w:val="24"/>
          <w:lang w:eastAsia="zh-CN"/>
        </w:rPr>
        <w:t>- Une formation qui a permis à 10 salariés intervenant sur l’activité de restauration collective d’appréhender les gestes et techniques relatifs à la sécurité alimentaire (Norme HACCP).</w:t>
      </w:r>
    </w:p>
    <w:p w:rsidR="00740144" w:rsidRDefault="00740144" w:rsidP="008E2A6F">
      <w:pPr>
        <w:spacing w:after="0" w:line="240" w:lineRule="auto"/>
        <w:jc w:val="both"/>
        <w:rPr>
          <w:rFonts w:cs="Calibri"/>
          <w:sz w:val="24"/>
          <w:szCs w:val="24"/>
        </w:rPr>
      </w:pPr>
    </w:p>
    <w:p w:rsidR="00740144" w:rsidRDefault="00740144" w:rsidP="008E2A6F">
      <w:pPr>
        <w:spacing w:after="0" w:line="240" w:lineRule="auto"/>
        <w:jc w:val="both"/>
        <w:rPr>
          <w:rFonts w:cs="Calibri"/>
          <w:sz w:val="24"/>
          <w:szCs w:val="24"/>
        </w:rPr>
      </w:pPr>
    </w:p>
    <w:p w:rsidR="00740144" w:rsidRPr="00E6757E" w:rsidRDefault="00740144" w:rsidP="008E2A6F">
      <w:pPr>
        <w:spacing w:after="0" w:line="240" w:lineRule="auto"/>
        <w:jc w:val="both"/>
        <w:rPr>
          <w:rFonts w:cs="Calibri"/>
          <w:sz w:val="24"/>
          <w:szCs w:val="24"/>
        </w:rPr>
      </w:pPr>
    </w:p>
    <w:p w:rsidR="00740144" w:rsidRDefault="00740144" w:rsidP="00EB070E">
      <w:pPr>
        <w:widowControl w:val="0"/>
        <w:suppressAutoHyphens/>
        <w:autoSpaceDN w:val="0"/>
        <w:spacing w:after="0" w:line="240" w:lineRule="auto"/>
        <w:jc w:val="both"/>
        <w:textAlignment w:val="baseline"/>
        <w:rPr>
          <w:rFonts w:cs="Calibri"/>
          <w:b/>
          <w:sz w:val="24"/>
          <w:szCs w:val="24"/>
        </w:rPr>
      </w:pPr>
      <w:r w:rsidRPr="00EB070E">
        <w:rPr>
          <w:rFonts w:cs="Calibri"/>
          <w:b/>
          <w:sz w:val="24"/>
          <w:szCs w:val="24"/>
        </w:rPr>
        <w:t>Ces act</w:t>
      </w:r>
      <w:r>
        <w:rPr>
          <w:rFonts w:cs="Calibri"/>
          <w:b/>
          <w:sz w:val="24"/>
          <w:szCs w:val="24"/>
        </w:rPr>
        <w:t xml:space="preserve">ions seront reconduites </w:t>
      </w:r>
      <w:r w:rsidRPr="00EB070E">
        <w:rPr>
          <w:rFonts w:cs="Calibri"/>
          <w:b/>
          <w:sz w:val="24"/>
          <w:szCs w:val="24"/>
        </w:rPr>
        <w:t>et développées</w:t>
      </w:r>
      <w:r>
        <w:rPr>
          <w:rFonts w:cs="Calibri"/>
          <w:b/>
          <w:sz w:val="24"/>
          <w:szCs w:val="24"/>
        </w:rPr>
        <w:t xml:space="preserve"> en 2013 : </w:t>
      </w:r>
    </w:p>
    <w:p w:rsidR="00740144" w:rsidRPr="00DA0913" w:rsidRDefault="00740144" w:rsidP="00EB070E">
      <w:pPr>
        <w:widowControl w:val="0"/>
        <w:suppressAutoHyphens/>
        <w:autoSpaceDN w:val="0"/>
        <w:spacing w:after="0" w:line="240" w:lineRule="auto"/>
        <w:jc w:val="both"/>
        <w:textAlignment w:val="baseline"/>
        <w:rPr>
          <w:rFonts w:cs="Calibri"/>
          <w:b/>
          <w:sz w:val="16"/>
          <w:szCs w:val="16"/>
        </w:rPr>
      </w:pPr>
    </w:p>
    <w:p w:rsidR="00740144" w:rsidRPr="00E6757E" w:rsidRDefault="00740144" w:rsidP="00EB070E">
      <w:pPr>
        <w:widowControl w:val="0"/>
        <w:suppressAutoHyphens/>
        <w:autoSpaceDN w:val="0"/>
        <w:spacing w:after="0" w:line="240" w:lineRule="auto"/>
        <w:jc w:val="both"/>
        <w:textAlignment w:val="baseline"/>
        <w:rPr>
          <w:rFonts w:cs="Calibri"/>
          <w:sz w:val="24"/>
          <w:szCs w:val="24"/>
        </w:rPr>
      </w:pPr>
      <w:r>
        <w:rPr>
          <w:rFonts w:cs="Calibri"/>
          <w:sz w:val="24"/>
          <w:szCs w:val="24"/>
        </w:rPr>
        <w:t>- 15 parcours qualifiants d’Agent de propreté et Hygiène et 60 parcours de formation HACCP seront pris en charge par le PLIE de Bordeaux.</w:t>
      </w:r>
    </w:p>
    <w:p w:rsidR="00740144" w:rsidRDefault="00740144">
      <w:pPr>
        <w:rPr>
          <w:lang w:eastAsia="ar-SA"/>
        </w:rPr>
      </w:pPr>
      <w:r>
        <w:rPr>
          <w:lang w:eastAsia="ar-SA"/>
        </w:rPr>
        <w:br w:type="page"/>
      </w:r>
    </w:p>
    <w:p w:rsidR="00740144" w:rsidRDefault="00740144">
      <w:pPr>
        <w:rPr>
          <w:lang w:eastAsia="ar-SA"/>
        </w:rPr>
      </w:pPr>
    </w:p>
    <w:p w:rsidR="00740144" w:rsidRDefault="00740144">
      <w:pPr>
        <w:rPr>
          <w:lang w:eastAsia="ar-SA"/>
        </w:rPr>
      </w:pPr>
    </w:p>
    <w:p w:rsidR="00740144" w:rsidRDefault="00740144">
      <w:pPr>
        <w:rPr>
          <w:lang w:eastAsia="ar-SA"/>
        </w:rPr>
      </w:pPr>
    </w:p>
    <w:p w:rsidR="00740144" w:rsidRDefault="00740144">
      <w:pPr>
        <w:rPr>
          <w:lang w:eastAsia="ar-SA"/>
        </w:rPr>
      </w:pPr>
    </w:p>
    <w:p w:rsidR="00740144" w:rsidRDefault="00740144">
      <w:pPr>
        <w:rPr>
          <w:lang w:eastAsia="ar-SA"/>
        </w:rPr>
      </w:pPr>
    </w:p>
    <w:p w:rsidR="00740144" w:rsidRDefault="00740144">
      <w:pPr>
        <w:rPr>
          <w:lang w:eastAsia="ar-SA"/>
        </w:rPr>
      </w:pPr>
    </w:p>
    <w:p w:rsidR="00740144" w:rsidRDefault="00740144">
      <w:pPr>
        <w:rPr>
          <w:sz w:val="24"/>
          <w:szCs w:val="24"/>
          <w:lang w:eastAsia="ar-SA"/>
        </w:rPr>
      </w:pPr>
    </w:p>
    <w:p w:rsidR="00740144" w:rsidRPr="00D7177D" w:rsidRDefault="00771071" w:rsidP="008E4DED">
      <w:pPr>
        <w:pStyle w:val="Paragraphedeliste"/>
        <w:spacing w:before="120"/>
        <w:ind w:left="0"/>
        <w:jc w:val="center"/>
        <w:rPr>
          <w:rFonts w:ascii="Calibri" w:hAnsi="Calibri"/>
          <w:lang w:eastAsia="ar-SA"/>
        </w:rPr>
      </w:pPr>
      <w:r>
        <w:rPr>
          <w:noProof/>
        </w:rPr>
        <w:drawing>
          <wp:inline distT="0" distB="0" distL="0" distR="0">
            <wp:extent cx="2438400" cy="1079500"/>
            <wp:effectExtent l="25400" t="0" r="0" b="0"/>
            <wp:docPr id="47" name="Imag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2"/>
                    <pic:cNvPicPr>
                      <a:picLocks noChangeAspect="1" noChangeArrowheads="1"/>
                    </pic:cNvPicPr>
                  </pic:nvPicPr>
                  <pic:blipFill>
                    <a:blip r:embed="rId8"/>
                    <a:srcRect/>
                    <a:stretch>
                      <a:fillRect/>
                    </a:stretch>
                  </pic:blipFill>
                  <pic:spPr bwMode="auto">
                    <a:xfrm>
                      <a:off x="0" y="0"/>
                      <a:ext cx="2438400" cy="1079500"/>
                    </a:xfrm>
                    <a:prstGeom prst="rect">
                      <a:avLst/>
                    </a:prstGeom>
                    <a:noFill/>
                    <a:ln w="9525">
                      <a:noFill/>
                      <a:miter lim="800000"/>
                      <a:headEnd/>
                      <a:tailEnd/>
                    </a:ln>
                  </pic:spPr>
                </pic:pic>
              </a:graphicData>
            </a:graphic>
          </wp:inline>
        </w:drawing>
      </w:r>
    </w:p>
    <w:sectPr w:rsidR="00740144" w:rsidRPr="00D7177D" w:rsidSect="008C1501">
      <w:pgSz w:w="11906" w:h="16838"/>
      <w:pgMar w:top="1417" w:right="1417" w:bottom="1417" w:left="1417" w:header="708" w:footer="708" w:gutter="0"/>
      <w:pgNumType w:start="0"/>
      <w:cols w:space="708"/>
      <w:titlePg/>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0144" w:rsidRDefault="00740144" w:rsidP="00C00193">
      <w:pPr>
        <w:spacing w:after="0" w:line="240" w:lineRule="auto"/>
      </w:pPr>
      <w:r>
        <w:separator/>
      </w:r>
    </w:p>
  </w:endnote>
  <w:endnote w:type="continuationSeparator" w:id="0">
    <w:p w:rsidR="00740144" w:rsidRDefault="00740144" w:rsidP="00C001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Franklin Gothic Book">
    <w:panose1 w:val="020B05030201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Conduit ITC">
    <w:altName w:val="Cambria"/>
    <w:panose1 w:val="00000000000000000000"/>
    <w:charset w:val="00"/>
    <w:family w:val="swiss"/>
    <w:notTrueType/>
    <w:pitch w:val="default"/>
    <w:sig w:usb0="00000003" w:usb1="00000000" w:usb2="00000000" w:usb3="00000000" w:csb0="00000001" w:csb1="00000000"/>
  </w:font>
  <w:font w:name="+mn-cs">
    <w:altName w:val="Times New Roman"/>
    <w:panose1 w:val="00000000000000000000"/>
    <w:charset w:val="00"/>
    <w:family w:val="roman"/>
    <w:notTrueType/>
    <w:pitch w:val="default"/>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144" w:rsidRPr="00852D94" w:rsidRDefault="00740144" w:rsidP="00C00193">
    <w:pPr>
      <w:pStyle w:val="Pieddepage"/>
      <w:rPr>
        <w:sz w:val="16"/>
      </w:rPr>
    </w:pPr>
    <w:r w:rsidRPr="00852D94">
      <w:rPr>
        <w:sz w:val="16"/>
      </w:rPr>
      <w:t>Equipe Clauses Sociales - PLIE de Bordeaux</w:t>
    </w:r>
  </w:p>
  <w:p w:rsidR="00740144" w:rsidRDefault="007C4A7C" w:rsidP="00C00193">
    <w:pPr>
      <w:pStyle w:val="Pieddepage"/>
      <w:jc w:val="right"/>
    </w:pPr>
    <w:r>
      <w:rPr>
        <w:noProof/>
        <w:lang w:eastAsia="fr-FR"/>
      </w:rPr>
    </w:r>
    <w:r>
      <w:rPr>
        <w:noProof/>
        <w:lang w:eastAsia="fr-FR"/>
      </w:rPr>
      <w:pict>
        <v:group id="Groupe 2" o:spid="_x0000_s2049"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">
          <v:roundrect id="AutoShape 3" o:spid="_x0000_s2050" style="position:absolute;left:859;top:415;width:374;height:864;rotation:-9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M3XsQA&#10;AADcAAAADwAAAGRycy9kb3ducmV2LnhtbESPQYvCMBSE7wv+h/CEvYimdmHRahQRCnsQxOrB46N5&#10;tsXmpTSxrf76zcKCx2FmvmHW28HUoqPWVZYVzGcRCOLc6ooLBZdzOl2AcB5ZY22ZFDzJwXYz+lhj&#10;om3PJ+oyX4gAYZeggtL7JpHS5SUZdDPbEAfvZluDPsi2kLrFPsBNLeMo+pYGKw4LJTa0Lym/Zw+j&#10;QMfPhZwc0/o1SY/d4+qzQ59mSn2Oh90KhKfBv8P/7R+tIP5awt+Zc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jN17EAAAA3AAAAA8AAAAAAAAAAAAAAAAAmAIAAGRycy9k&#10;b3ducmV2LnhtbFBLBQYAAAAABAAEAPUAAACJAwAAAAA=&#10;" strokecolor="#e4be84"/>
          <v:roundrect id="AutoShape 4" o:spid="_x0000_s2051" style="position:absolute;left:898;top:451;width:296;height:792;rotation:-9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oiBsIA&#10;AADcAAAADwAAAGRycy9kb3ducmV2LnhtbERPy2oCMRTdF/oP4Ra6Ec0o9cFoFBEK7oq2yCyvk+tk&#10;7ORmSFId/XqzELo8nPdi1dlGXMiH2rGC4SADQVw6XXOl4Of7sz8DESKyxsYxKbhRgNXy9WWBuXZX&#10;3tFlHyuRQjjkqMDE2OZShtKQxTBwLXHiTs5bjAn6SmqP1xRuGznKsom0WHNqMNjSxlD5u/+zCr4K&#10;WWzGxXG6W2f+fhoe7tQzZ6Xe37r1HESkLv6Ln+6tVjD6SPPTmXQ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GiIGwgAAANwAAAAPAAAAAAAAAAAAAAAAAJgCAABkcnMvZG93&#10;bnJldi54bWxQSwUGAAAAAAQABAD1AAAAhwMAAAAA&#10;" fillcolor="#e4be84" strokecolor="#e4be84"/>
          <v:shapetype id="_x0000_t202" coordsize="21600,21600" o:spt="202" path="m0,0l0,21600,21600,21600,21600,0xe">
            <v:stroke joinstyle="miter"/>
            <v:path gradientshapeok="t" o:connecttype="rect"/>
          </v:shapetype>
          <v:shape id="Text Box 5" o:spid="_x0000_s2052" type="#_x0000_t202" style="position:absolute;left:732;top:716;width:659;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0syMQA&#10;AADcAAAADwAAAGRycy9kb3ducmV2LnhtbESPQWvCQBSE74L/YXmCN90oIh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dLMjEAAAA3AAAAA8AAAAAAAAAAAAAAAAAmAIAAGRycy9k&#10;b3ducmV2LnhtbFBLBQYAAAAABAAEAPUAAACJAwAAAAA=&#10;" filled="f" stroked="f">
            <v:textbox inset="0,0,0,0">
              <w:txbxContent>
                <w:p w:rsidR="00740144" w:rsidRPr="000857F0" w:rsidRDefault="007C4A7C">
                  <w:pPr>
                    <w:jc w:val="center"/>
                    <w:rPr>
                      <w:color w:val="FFFFFF"/>
                    </w:rPr>
                  </w:pPr>
                  <w:fldSimple w:instr="PAGE    \* MERGEFORMAT">
                    <w:r w:rsidR="00771071" w:rsidRPr="00771071">
                      <w:rPr>
                        <w:b/>
                        <w:bCs/>
                        <w:noProof/>
                        <w:color w:val="FFFFFF"/>
                      </w:rPr>
                      <w:t>8</w:t>
                    </w:r>
                  </w:fldSimple>
                </w:p>
              </w:txbxContent>
            </v:textbox>
          </v:shape>
          <w10:wrap type="none"/>
          <w10:anchorlock/>
        </v:group>
      </w:pict>
    </w: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144" w:rsidRDefault="00771071">
    <w:pPr>
      <w:pStyle w:val="Pieddepage"/>
    </w:pPr>
    <w:r>
      <w:rPr>
        <w:noProof/>
        <w:lang w:eastAsia="fr-FR"/>
      </w:rPr>
      <w:drawing>
        <wp:inline distT="0" distB="0" distL="0" distR="0">
          <wp:extent cx="3949700" cy="546100"/>
          <wp:effectExtent l="25400" t="0" r="0" b="0"/>
          <wp:docPr id="4"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1"/>
                  <a:srcRect/>
                  <a:stretch>
                    <a:fillRect/>
                  </a:stretch>
                </pic:blipFill>
                <pic:spPr bwMode="auto">
                  <a:xfrm>
                    <a:off x="0" y="0"/>
                    <a:ext cx="3949700" cy="546100"/>
                  </a:xfrm>
                  <a:prstGeom prst="rect">
                    <a:avLst/>
                  </a:prstGeom>
                  <a:noFill/>
                  <a:ln w="9525">
                    <a:noFill/>
                    <a:miter lim="800000"/>
                    <a:headEnd/>
                    <a:tailEnd/>
                  </a:ln>
                </pic:spPr>
              </pic:pic>
            </a:graphicData>
          </a:graphic>
        </wp:inline>
      </w:drawing>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0144" w:rsidRDefault="00740144" w:rsidP="00C00193">
      <w:pPr>
        <w:spacing w:after="0" w:line="240" w:lineRule="auto"/>
      </w:pPr>
      <w:r>
        <w:separator/>
      </w:r>
    </w:p>
  </w:footnote>
  <w:footnote w:type="continuationSeparator" w:id="0">
    <w:p w:rsidR="00740144" w:rsidRDefault="00740144" w:rsidP="00C00193">
      <w:pPr>
        <w:spacing w:after="0" w:line="240" w:lineRule="auto"/>
      </w:pPr>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638F79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0212AA0C"/>
    <w:lvl w:ilvl="0">
      <w:start w:val="1"/>
      <w:numFmt w:val="decimal"/>
      <w:lvlText w:val="%1."/>
      <w:lvlJc w:val="left"/>
      <w:pPr>
        <w:tabs>
          <w:tab w:val="num" w:pos="1492"/>
        </w:tabs>
        <w:ind w:left="1492" w:hanging="360"/>
      </w:pPr>
    </w:lvl>
  </w:abstractNum>
  <w:abstractNum w:abstractNumId="2">
    <w:nsid w:val="FFFFFF7D"/>
    <w:multiLevelType w:val="singleLevel"/>
    <w:tmpl w:val="FA7AD3BE"/>
    <w:lvl w:ilvl="0">
      <w:start w:val="1"/>
      <w:numFmt w:val="decimal"/>
      <w:lvlText w:val="%1."/>
      <w:lvlJc w:val="left"/>
      <w:pPr>
        <w:tabs>
          <w:tab w:val="num" w:pos="1209"/>
        </w:tabs>
        <w:ind w:left="1209" w:hanging="360"/>
      </w:pPr>
    </w:lvl>
  </w:abstractNum>
  <w:abstractNum w:abstractNumId="3">
    <w:nsid w:val="FFFFFF7E"/>
    <w:multiLevelType w:val="singleLevel"/>
    <w:tmpl w:val="650028FA"/>
    <w:lvl w:ilvl="0">
      <w:start w:val="1"/>
      <w:numFmt w:val="decimal"/>
      <w:lvlText w:val="%1."/>
      <w:lvlJc w:val="left"/>
      <w:pPr>
        <w:tabs>
          <w:tab w:val="num" w:pos="926"/>
        </w:tabs>
        <w:ind w:left="926" w:hanging="360"/>
      </w:pPr>
    </w:lvl>
  </w:abstractNum>
  <w:abstractNum w:abstractNumId="4">
    <w:nsid w:val="FFFFFF7F"/>
    <w:multiLevelType w:val="singleLevel"/>
    <w:tmpl w:val="CDC0BB8A"/>
    <w:lvl w:ilvl="0">
      <w:start w:val="1"/>
      <w:numFmt w:val="decimal"/>
      <w:lvlText w:val="%1."/>
      <w:lvlJc w:val="left"/>
      <w:pPr>
        <w:tabs>
          <w:tab w:val="num" w:pos="643"/>
        </w:tabs>
        <w:ind w:left="643" w:hanging="360"/>
      </w:pPr>
    </w:lvl>
  </w:abstractNum>
  <w:abstractNum w:abstractNumId="5">
    <w:nsid w:val="FFFFFF80"/>
    <w:multiLevelType w:val="singleLevel"/>
    <w:tmpl w:val="B8004BD8"/>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3CDAEBE4"/>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0F5A5C2E"/>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6332ED14"/>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E8A21900"/>
    <w:lvl w:ilvl="0">
      <w:start w:val="1"/>
      <w:numFmt w:val="decimal"/>
      <w:lvlText w:val="%1."/>
      <w:lvlJc w:val="left"/>
      <w:pPr>
        <w:tabs>
          <w:tab w:val="num" w:pos="360"/>
        </w:tabs>
        <w:ind w:left="360" w:hanging="360"/>
      </w:pPr>
    </w:lvl>
  </w:abstractNum>
  <w:abstractNum w:abstractNumId="10">
    <w:nsid w:val="FFFFFF89"/>
    <w:multiLevelType w:val="singleLevel"/>
    <w:tmpl w:val="0AA6D376"/>
    <w:lvl w:ilvl="0">
      <w:start w:val="1"/>
      <w:numFmt w:val="bullet"/>
      <w:lvlText w:val=""/>
      <w:lvlJc w:val="left"/>
      <w:pPr>
        <w:tabs>
          <w:tab w:val="num" w:pos="360"/>
        </w:tabs>
        <w:ind w:left="360" w:hanging="360"/>
      </w:pPr>
      <w:rPr>
        <w:rFonts w:ascii="Symbol" w:hAnsi="Symbol" w:hint="default"/>
      </w:rPr>
    </w:lvl>
  </w:abstractNum>
  <w:abstractNum w:abstractNumId="11">
    <w:nsid w:val="00000001"/>
    <w:multiLevelType w:val="multilevel"/>
    <w:tmpl w:val="00000001"/>
    <w:lvl w:ilvl="0">
      <w:start w:val="1"/>
      <w:numFmt w:val="none"/>
      <w:lvlText w:val=""/>
      <w:lvlJc w:val="left"/>
      <w:pPr>
        <w:tabs>
          <w:tab w:val="num" w:pos="432"/>
        </w:tabs>
        <w:ind w:left="432" w:hanging="432"/>
      </w:pPr>
      <w:rPr>
        <w:rFonts w:cs="Times New Roman"/>
      </w:rPr>
    </w:lvl>
    <w:lvl w:ilvl="1">
      <w:start w:val="1"/>
      <w:numFmt w:val="none"/>
      <w:lvlText w:val=""/>
      <w:lvlJc w:val="left"/>
      <w:pPr>
        <w:tabs>
          <w:tab w:val="num" w:pos="576"/>
        </w:tabs>
        <w:ind w:left="576" w:hanging="576"/>
      </w:pPr>
      <w:rPr>
        <w:rFonts w:cs="Times New Roman"/>
      </w:rPr>
    </w:lvl>
    <w:lvl w:ilvl="2">
      <w:start w:val="1"/>
      <w:numFmt w:val="none"/>
      <w:lvlText w:val=""/>
      <w:lvlJc w:val="left"/>
      <w:pPr>
        <w:tabs>
          <w:tab w:val="num" w:pos="720"/>
        </w:tabs>
        <w:ind w:left="720" w:hanging="720"/>
      </w:pPr>
      <w:rPr>
        <w:rFonts w:cs="Times New Roman"/>
      </w:rPr>
    </w:lvl>
    <w:lvl w:ilvl="3">
      <w:start w:val="1"/>
      <w:numFmt w:val="none"/>
      <w:lvlText w:val=""/>
      <w:lvlJc w:val="left"/>
      <w:pPr>
        <w:tabs>
          <w:tab w:val="num" w:pos="864"/>
        </w:tabs>
        <w:ind w:left="864" w:hanging="864"/>
      </w:pPr>
      <w:rPr>
        <w:rFonts w:cs="Times New Roman"/>
      </w:rPr>
    </w:lvl>
    <w:lvl w:ilvl="4">
      <w:start w:val="1"/>
      <w:numFmt w:val="none"/>
      <w:lvlText w:val=""/>
      <w:lvlJc w:val="left"/>
      <w:pPr>
        <w:tabs>
          <w:tab w:val="num" w:pos="1008"/>
        </w:tabs>
        <w:ind w:left="1008" w:hanging="1008"/>
      </w:pPr>
      <w:rPr>
        <w:rFonts w:cs="Times New Roman"/>
      </w:rPr>
    </w:lvl>
    <w:lvl w:ilvl="5">
      <w:start w:val="1"/>
      <w:numFmt w:val="none"/>
      <w:pStyle w:val="Titre6"/>
      <w:lvlText w:val=""/>
      <w:lvlJc w:val="left"/>
      <w:pPr>
        <w:tabs>
          <w:tab w:val="num" w:pos="1152"/>
        </w:tabs>
        <w:ind w:left="1152" w:hanging="1152"/>
      </w:pPr>
      <w:rPr>
        <w:rFonts w:cs="Times New Roman"/>
      </w:rPr>
    </w:lvl>
    <w:lvl w:ilvl="6">
      <w:start w:val="1"/>
      <w:numFmt w:val="none"/>
      <w:lvlText w:val=""/>
      <w:lvlJc w:val="left"/>
      <w:pPr>
        <w:tabs>
          <w:tab w:val="num" w:pos="1296"/>
        </w:tabs>
        <w:ind w:left="1296" w:hanging="1296"/>
      </w:pPr>
      <w:rPr>
        <w:rFonts w:cs="Times New Roman"/>
      </w:rPr>
    </w:lvl>
    <w:lvl w:ilvl="7">
      <w:start w:val="1"/>
      <w:numFmt w:val="none"/>
      <w:lvlText w:val=""/>
      <w:lvlJc w:val="left"/>
      <w:pPr>
        <w:tabs>
          <w:tab w:val="num" w:pos="1440"/>
        </w:tabs>
        <w:ind w:left="1440" w:hanging="1440"/>
      </w:pPr>
      <w:rPr>
        <w:rFonts w:cs="Times New Roman"/>
      </w:rPr>
    </w:lvl>
    <w:lvl w:ilvl="8">
      <w:start w:val="1"/>
      <w:numFmt w:val="none"/>
      <w:lvlText w:val=""/>
      <w:lvlJc w:val="left"/>
      <w:pPr>
        <w:tabs>
          <w:tab w:val="num" w:pos="1584"/>
        </w:tabs>
        <w:ind w:left="1584" w:hanging="1584"/>
      </w:pPr>
      <w:rPr>
        <w:rFonts w:cs="Times New Roman"/>
      </w:rPr>
    </w:lvl>
  </w:abstractNum>
  <w:abstractNum w:abstractNumId="12">
    <w:nsid w:val="00000004"/>
    <w:multiLevelType w:val="singleLevel"/>
    <w:tmpl w:val="00000004"/>
    <w:name w:val="WW8Num38"/>
    <w:lvl w:ilvl="0">
      <w:start w:val="1"/>
      <w:numFmt w:val="bullet"/>
      <w:lvlText w:val=""/>
      <w:lvlJc w:val="left"/>
      <w:pPr>
        <w:tabs>
          <w:tab w:val="num" w:pos="720"/>
        </w:tabs>
        <w:ind w:left="720" w:hanging="360"/>
      </w:pPr>
      <w:rPr>
        <w:rFonts w:ascii="Symbol" w:hAnsi="Symbol"/>
      </w:rPr>
    </w:lvl>
  </w:abstractNum>
  <w:abstractNum w:abstractNumId="13">
    <w:nsid w:val="1AF440E5"/>
    <w:multiLevelType w:val="hybridMultilevel"/>
    <w:tmpl w:val="6212C86A"/>
    <w:lvl w:ilvl="0" w:tplc="32DEE784">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B5A762C"/>
    <w:multiLevelType w:val="hybridMultilevel"/>
    <w:tmpl w:val="E1483B50"/>
    <w:lvl w:ilvl="0" w:tplc="730AD38A">
      <w:start w:val="1"/>
      <w:numFmt w:val="decimal"/>
      <w:lvlText w:val="%1."/>
      <w:lvlJc w:val="left"/>
      <w:pPr>
        <w:ind w:left="786" w:hanging="360"/>
      </w:pPr>
      <w:rPr>
        <w:rFonts w:cs="Times New Roman" w:hint="default"/>
      </w:rPr>
    </w:lvl>
    <w:lvl w:ilvl="1" w:tplc="040C0019" w:tentative="1">
      <w:start w:val="1"/>
      <w:numFmt w:val="lowerLetter"/>
      <w:lvlText w:val="%2."/>
      <w:lvlJc w:val="left"/>
      <w:pPr>
        <w:ind w:left="1506" w:hanging="360"/>
      </w:pPr>
      <w:rPr>
        <w:rFonts w:cs="Times New Roman"/>
      </w:rPr>
    </w:lvl>
    <w:lvl w:ilvl="2" w:tplc="040C001B" w:tentative="1">
      <w:start w:val="1"/>
      <w:numFmt w:val="lowerRoman"/>
      <w:lvlText w:val="%3."/>
      <w:lvlJc w:val="right"/>
      <w:pPr>
        <w:ind w:left="2226" w:hanging="180"/>
      </w:pPr>
      <w:rPr>
        <w:rFonts w:cs="Times New Roman"/>
      </w:rPr>
    </w:lvl>
    <w:lvl w:ilvl="3" w:tplc="040C000F" w:tentative="1">
      <w:start w:val="1"/>
      <w:numFmt w:val="decimal"/>
      <w:lvlText w:val="%4."/>
      <w:lvlJc w:val="left"/>
      <w:pPr>
        <w:ind w:left="2946" w:hanging="360"/>
      </w:pPr>
      <w:rPr>
        <w:rFonts w:cs="Times New Roman"/>
      </w:rPr>
    </w:lvl>
    <w:lvl w:ilvl="4" w:tplc="040C0019" w:tentative="1">
      <w:start w:val="1"/>
      <w:numFmt w:val="lowerLetter"/>
      <w:lvlText w:val="%5."/>
      <w:lvlJc w:val="left"/>
      <w:pPr>
        <w:ind w:left="3666" w:hanging="360"/>
      </w:pPr>
      <w:rPr>
        <w:rFonts w:cs="Times New Roman"/>
      </w:rPr>
    </w:lvl>
    <w:lvl w:ilvl="5" w:tplc="040C001B" w:tentative="1">
      <w:start w:val="1"/>
      <w:numFmt w:val="lowerRoman"/>
      <w:lvlText w:val="%6."/>
      <w:lvlJc w:val="right"/>
      <w:pPr>
        <w:ind w:left="4386" w:hanging="180"/>
      </w:pPr>
      <w:rPr>
        <w:rFonts w:cs="Times New Roman"/>
      </w:rPr>
    </w:lvl>
    <w:lvl w:ilvl="6" w:tplc="040C000F" w:tentative="1">
      <w:start w:val="1"/>
      <w:numFmt w:val="decimal"/>
      <w:lvlText w:val="%7."/>
      <w:lvlJc w:val="left"/>
      <w:pPr>
        <w:ind w:left="5106" w:hanging="360"/>
      </w:pPr>
      <w:rPr>
        <w:rFonts w:cs="Times New Roman"/>
      </w:rPr>
    </w:lvl>
    <w:lvl w:ilvl="7" w:tplc="040C0019" w:tentative="1">
      <w:start w:val="1"/>
      <w:numFmt w:val="lowerLetter"/>
      <w:lvlText w:val="%8."/>
      <w:lvlJc w:val="left"/>
      <w:pPr>
        <w:ind w:left="5826" w:hanging="360"/>
      </w:pPr>
      <w:rPr>
        <w:rFonts w:cs="Times New Roman"/>
      </w:rPr>
    </w:lvl>
    <w:lvl w:ilvl="8" w:tplc="040C001B" w:tentative="1">
      <w:start w:val="1"/>
      <w:numFmt w:val="lowerRoman"/>
      <w:lvlText w:val="%9."/>
      <w:lvlJc w:val="right"/>
      <w:pPr>
        <w:ind w:left="6546" w:hanging="180"/>
      </w:pPr>
      <w:rPr>
        <w:rFonts w:cs="Times New Roman"/>
      </w:rPr>
    </w:lvl>
  </w:abstractNum>
  <w:abstractNum w:abstractNumId="15">
    <w:nsid w:val="1F913022"/>
    <w:multiLevelType w:val="hybridMultilevel"/>
    <w:tmpl w:val="309091AA"/>
    <w:lvl w:ilvl="0" w:tplc="D8A2695A">
      <w:start w:val="13"/>
      <w:numFmt w:val="bullet"/>
      <w:lvlText w:val="-"/>
      <w:lvlJc w:val="left"/>
      <w:pPr>
        <w:tabs>
          <w:tab w:val="num" w:pos="720"/>
        </w:tabs>
        <w:ind w:left="720"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nsid w:val="27E00383"/>
    <w:multiLevelType w:val="hybridMultilevel"/>
    <w:tmpl w:val="81B44C60"/>
    <w:lvl w:ilvl="0" w:tplc="62A49362">
      <w:start w:val="1"/>
      <w:numFmt w:val="bullet"/>
      <w:lvlText w:val="•"/>
      <w:lvlJc w:val="left"/>
      <w:pPr>
        <w:tabs>
          <w:tab w:val="num" w:pos="360"/>
        </w:tabs>
        <w:ind w:left="360" w:hanging="360"/>
      </w:pPr>
      <w:rPr>
        <w:rFonts w:ascii="Times New Roman" w:hAnsi="Times New Roman" w:hint="default"/>
        <w:color w:val="C0504D"/>
        <w:sz w:val="40"/>
      </w:rPr>
    </w:lvl>
    <w:lvl w:ilvl="1" w:tplc="A462B216" w:tentative="1">
      <w:start w:val="1"/>
      <w:numFmt w:val="bullet"/>
      <w:lvlText w:val="•"/>
      <w:lvlJc w:val="left"/>
      <w:pPr>
        <w:tabs>
          <w:tab w:val="num" w:pos="1440"/>
        </w:tabs>
        <w:ind w:left="1440" w:hanging="360"/>
      </w:pPr>
      <w:rPr>
        <w:rFonts w:ascii="Times New Roman" w:hAnsi="Times New Roman" w:hint="default"/>
      </w:rPr>
    </w:lvl>
    <w:lvl w:ilvl="2" w:tplc="AB9E57B8" w:tentative="1">
      <w:start w:val="1"/>
      <w:numFmt w:val="bullet"/>
      <w:lvlText w:val="•"/>
      <w:lvlJc w:val="left"/>
      <w:pPr>
        <w:tabs>
          <w:tab w:val="num" w:pos="2160"/>
        </w:tabs>
        <w:ind w:left="2160" w:hanging="360"/>
      </w:pPr>
      <w:rPr>
        <w:rFonts w:ascii="Times New Roman" w:hAnsi="Times New Roman" w:hint="default"/>
      </w:rPr>
    </w:lvl>
    <w:lvl w:ilvl="3" w:tplc="C5B2B76C" w:tentative="1">
      <w:start w:val="1"/>
      <w:numFmt w:val="bullet"/>
      <w:lvlText w:val="•"/>
      <w:lvlJc w:val="left"/>
      <w:pPr>
        <w:tabs>
          <w:tab w:val="num" w:pos="2880"/>
        </w:tabs>
        <w:ind w:left="2880" w:hanging="360"/>
      </w:pPr>
      <w:rPr>
        <w:rFonts w:ascii="Times New Roman" w:hAnsi="Times New Roman" w:hint="default"/>
      </w:rPr>
    </w:lvl>
    <w:lvl w:ilvl="4" w:tplc="3B6E5FE8" w:tentative="1">
      <w:start w:val="1"/>
      <w:numFmt w:val="bullet"/>
      <w:lvlText w:val="•"/>
      <w:lvlJc w:val="left"/>
      <w:pPr>
        <w:tabs>
          <w:tab w:val="num" w:pos="3600"/>
        </w:tabs>
        <w:ind w:left="3600" w:hanging="360"/>
      </w:pPr>
      <w:rPr>
        <w:rFonts w:ascii="Times New Roman" w:hAnsi="Times New Roman" w:hint="default"/>
      </w:rPr>
    </w:lvl>
    <w:lvl w:ilvl="5" w:tplc="AAEEE076" w:tentative="1">
      <w:start w:val="1"/>
      <w:numFmt w:val="bullet"/>
      <w:lvlText w:val="•"/>
      <w:lvlJc w:val="left"/>
      <w:pPr>
        <w:tabs>
          <w:tab w:val="num" w:pos="4320"/>
        </w:tabs>
        <w:ind w:left="4320" w:hanging="360"/>
      </w:pPr>
      <w:rPr>
        <w:rFonts w:ascii="Times New Roman" w:hAnsi="Times New Roman" w:hint="default"/>
      </w:rPr>
    </w:lvl>
    <w:lvl w:ilvl="6" w:tplc="8B5E0BF2" w:tentative="1">
      <w:start w:val="1"/>
      <w:numFmt w:val="bullet"/>
      <w:lvlText w:val="•"/>
      <w:lvlJc w:val="left"/>
      <w:pPr>
        <w:tabs>
          <w:tab w:val="num" w:pos="5040"/>
        </w:tabs>
        <w:ind w:left="5040" w:hanging="360"/>
      </w:pPr>
      <w:rPr>
        <w:rFonts w:ascii="Times New Roman" w:hAnsi="Times New Roman" w:hint="default"/>
      </w:rPr>
    </w:lvl>
    <w:lvl w:ilvl="7" w:tplc="896EB29E" w:tentative="1">
      <w:start w:val="1"/>
      <w:numFmt w:val="bullet"/>
      <w:lvlText w:val="•"/>
      <w:lvlJc w:val="left"/>
      <w:pPr>
        <w:tabs>
          <w:tab w:val="num" w:pos="5760"/>
        </w:tabs>
        <w:ind w:left="5760" w:hanging="360"/>
      </w:pPr>
      <w:rPr>
        <w:rFonts w:ascii="Times New Roman" w:hAnsi="Times New Roman" w:hint="default"/>
      </w:rPr>
    </w:lvl>
    <w:lvl w:ilvl="8" w:tplc="E07EFCDC" w:tentative="1">
      <w:start w:val="1"/>
      <w:numFmt w:val="bullet"/>
      <w:lvlText w:val="•"/>
      <w:lvlJc w:val="left"/>
      <w:pPr>
        <w:tabs>
          <w:tab w:val="num" w:pos="6480"/>
        </w:tabs>
        <w:ind w:left="6480" w:hanging="360"/>
      </w:pPr>
      <w:rPr>
        <w:rFonts w:ascii="Times New Roman" w:hAnsi="Times New Roman" w:hint="default"/>
      </w:rPr>
    </w:lvl>
  </w:abstractNum>
  <w:abstractNum w:abstractNumId="17">
    <w:nsid w:val="2BE81E6A"/>
    <w:multiLevelType w:val="hybridMultilevel"/>
    <w:tmpl w:val="1160103A"/>
    <w:lvl w:ilvl="0" w:tplc="BF629116">
      <w:start w:val="1"/>
      <w:numFmt w:val="bullet"/>
      <w:lvlText w:val="•"/>
      <w:lvlJc w:val="left"/>
      <w:pPr>
        <w:tabs>
          <w:tab w:val="num" w:pos="720"/>
        </w:tabs>
        <w:ind w:left="720" w:hanging="360"/>
      </w:pPr>
      <w:rPr>
        <w:rFonts w:ascii="Times New Roman" w:hAnsi="Times New Roman" w:hint="default"/>
      </w:rPr>
    </w:lvl>
    <w:lvl w:ilvl="1" w:tplc="9F5C04F0" w:tentative="1">
      <w:start w:val="1"/>
      <w:numFmt w:val="bullet"/>
      <w:lvlText w:val="•"/>
      <w:lvlJc w:val="left"/>
      <w:pPr>
        <w:tabs>
          <w:tab w:val="num" w:pos="1440"/>
        </w:tabs>
        <w:ind w:left="1440" w:hanging="360"/>
      </w:pPr>
      <w:rPr>
        <w:rFonts w:ascii="Times New Roman" w:hAnsi="Times New Roman" w:hint="default"/>
      </w:rPr>
    </w:lvl>
    <w:lvl w:ilvl="2" w:tplc="DFE4CED0" w:tentative="1">
      <w:start w:val="1"/>
      <w:numFmt w:val="bullet"/>
      <w:lvlText w:val="•"/>
      <w:lvlJc w:val="left"/>
      <w:pPr>
        <w:tabs>
          <w:tab w:val="num" w:pos="2160"/>
        </w:tabs>
        <w:ind w:left="2160" w:hanging="360"/>
      </w:pPr>
      <w:rPr>
        <w:rFonts w:ascii="Times New Roman" w:hAnsi="Times New Roman" w:hint="default"/>
      </w:rPr>
    </w:lvl>
    <w:lvl w:ilvl="3" w:tplc="C25CBBEA" w:tentative="1">
      <w:start w:val="1"/>
      <w:numFmt w:val="bullet"/>
      <w:lvlText w:val="•"/>
      <w:lvlJc w:val="left"/>
      <w:pPr>
        <w:tabs>
          <w:tab w:val="num" w:pos="2880"/>
        </w:tabs>
        <w:ind w:left="2880" w:hanging="360"/>
      </w:pPr>
      <w:rPr>
        <w:rFonts w:ascii="Times New Roman" w:hAnsi="Times New Roman" w:hint="default"/>
      </w:rPr>
    </w:lvl>
    <w:lvl w:ilvl="4" w:tplc="84B246E8" w:tentative="1">
      <w:start w:val="1"/>
      <w:numFmt w:val="bullet"/>
      <w:lvlText w:val="•"/>
      <w:lvlJc w:val="left"/>
      <w:pPr>
        <w:tabs>
          <w:tab w:val="num" w:pos="3600"/>
        </w:tabs>
        <w:ind w:left="3600" w:hanging="360"/>
      </w:pPr>
      <w:rPr>
        <w:rFonts w:ascii="Times New Roman" w:hAnsi="Times New Roman" w:hint="default"/>
      </w:rPr>
    </w:lvl>
    <w:lvl w:ilvl="5" w:tplc="92D432DC" w:tentative="1">
      <w:start w:val="1"/>
      <w:numFmt w:val="bullet"/>
      <w:lvlText w:val="•"/>
      <w:lvlJc w:val="left"/>
      <w:pPr>
        <w:tabs>
          <w:tab w:val="num" w:pos="4320"/>
        </w:tabs>
        <w:ind w:left="4320" w:hanging="360"/>
      </w:pPr>
      <w:rPr>
        <w:rFonts w:ascii="Times New Roman" w:hAnsi="Times New Roman" w:hint="default"/>
      </w:rPr>
    </w:lvl>
    <w:lvl w:ilvl="6" w:tplc="6B4CCD38" w:tentative="1">
      <w:start w:val="1"/>
      <w:numFmt w:val="bullet"/>
      <w:lvlText w:val="•"/>
      <w:lvlJc w:val="left"/>
      <w:pPr>
        <w:tabs>
          <w:tab w:val="num" w:pos="5040"/>
        </w:tabs>
        <w:ind w:left="5040" w:hanging="360"/>
      </w:pPr>
      <w:rPr>
        <w:rFonts w:ascii="Times New Roman" w:hAnsi="Times New Roman" w:hint="default"/>
      </w:rPr>
    </w:lvl>
    <w:lvl w:ilvl="7" w:tplc="813ECB0E" w:tentative="1">
      <w:start w:val="1"/>
      <w:numFmt w:val="bullet"/>
      <w:lvlText w:val="•"/>
      <w:lvlJc w:val="left"/>
      <w:pPr>
        <w:tabs>
          <w:tab w:val="num" w:pos="5760"/>
        </w:tabs>
        <w:ind w:left="5760" w:hanging="360"/>
      </w:pPr>
      <w:rPr>
        <w:rFonts w:ascii="Times New Roman" w:hAnsi="Times New Roman" w:hint="default"/>
      </w:rPr>
    </w:lvl>
    <w:lvl w:ilvl="8" w:tplc="82405C8C" w:tentative="1">
      <w:start w:val="1"/>
      <w:numFmt w:val="bullet"/>
      <w:lvlText w:val="•"/>
      <w:lvlJc w:val="left"/>
      <w:pPr>
        <w:tabs>
          <w:tab w:val="num" w:pos="6480"/>
        </w:tabs>
        <w:ind w:left="6480" w:hanging="360"/>
      </w:pPr>
      <w:rPr>
        <w:rFonts w:ascii="Times New Roman" w:hAnsi="Times New Roman" w:hint="default"/>
      </w:rPr>
    </w:lvl>
  </w:abstractNum>
  <w:abstractNum w:abstractNumId="18">
    <w:nsid w:val="2D4F5960"/>
    <w:multiLevelType w:val="hybridMultilevel"/>
    <w:tmpl w:val="B978B16C"/>
    <w:lvl w:ilvl="0" w:tplc="040C000D">
      <w:start w:val="1"/>
      <w:numFmt w:val="bullet"/>
      <w:lvlText w:val=""/>
      <w:lvlJc w:val="left"/>
      <w:pPr>
        <w:ind w:left="795" w:hanging="360"/>
      </w:pPr>
      <w:rPr>
        <w:rFonts w:ascii="Wingdings" w:hAnsi="Wingdings" w:hint="default"/>
      </w:rPr>
    </w:lvl>
    <w:lvl w:ilvl="1" w:tplc="040C0003" w:tentative="1">
      <w:start w:val="1"/>
      <w:numFmt w:val="bullet"/>
      <w:lvlText w:val="o"/>
      <w:lvlJc w:val="left"/>
      <w:pPr>
        <w:ind w:left="1515" w:hanging="360"/>
      </w:pPr>
      <w:rPr>
        <w:rFonts w:ascii="Courier New" w:hAnsi="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19">
    <w:nsid w:val="41BB72D5"/>
    <w:multiLevelType w:val="hybridMultilevel"/>
    <w:tmpl w:val="99E436F6"/>
    <w:lvl w:ilvl="0" w:tplc="C7F21C4E">
      <w:start w:val="1"/>
      <w:numFmt w:val="decimal"/>
      <w:lvlText w:val="%1."/>
      <w:lvlJc w:val="left"/>
      <w:pPr>
        <w:tabs>
          <w:tab w:val="num" w:pos="720"/>
        </w:tabs>
        <w:ind w:left="720" w:hanging="360"/>
      </w:pPr>
      <w:rPr>
        <w:rFonts w:cs="Times New Roman" w:hint="default"/>
      </w:rPr>
    </w:lvl>
    <w:lvl w:ilvl="1" w:tplc="0E16BC18">
      <w:start w:val="6"/>
      <w:numFmt w:val="bullet"/>
      <w:lvlText w:val="-"/>
      <w:lvlJc w:val="left"/>
      <w:pPr>
        <w:tabs>
          <w:tab w:val="num" w:pos="1260"/>
        </w:tabs>
        <w:ind w:left="1260" w:hanging="360"/>
      </w:pPr>
      <w:rPr>
        <w:rFonts w:ascii="Franklin Gothic Book" w:eastAsia="Times New Roman" w:hAnsi="Franklin Gothic Book" w:hint="default"/>
      </w:rPr>
    </w:lvl>
    <w:lvl w:ilvl="2" w:tplc="040C001B" w:tentative="1">
      <w:start w:val="1"/>
      <w:numFmt w:val="lowerRoman"/>
      <w:lvlText w:val="%3."/>
      <w:lvlJc w:val="right"/>
      <w:pPr>
        <w:tabs>
          <w:tab w:val="num" w:pos="1980"/>
        </w:tabs>
        <w:ind w:left="1980" w:hanging="180"/>
      </w:pPr>
      <w:rPr>
        <w:rFonts w:cs="Times New Roman"/>
      </w:rPr>
    </w:lvl>
    <w:lvl w:ilvl="3" w:tplc="040C000F" w:tentative="1">
      <w:start w:val="1"/>
      <w:numFmt w:val="decimal"/>
      <w:lvlText w:val="%4."/>
      <w:lvlJc w:val="left"/>
      <w:pPr>
        <w:tabs>
          <w:tab w:val="num" w:pos="2700"/>
        </w:tabs>
        <w:ind w:left="2700" w:hanging="360"/>
      </w:pPr>
      <w:rPr>
        <w:rFonts w:cs="Times New Roman"/>
      </w:rPr>
    </w:lvl>
    <w:lvl w:ilvl="4" w:tplc="040C0019" w:tentative="1">
      <w:start w:val="1"/>
      <w:numFmt w:val="lowerLetter"/>
      <w:lvlText w:val="%5."/>
      <w:lvlJc w:val="left"/>
      <w:pPr>
        <w:tabs>
          <w:tab w:val="num" w:pos="3420"/>
        </w:tabs>
        <w:ind w:left="3420" w:hanging="360"/>
      </w:pPr>
      <w:rPr>
        <w:rFonts w:cs="Times New Roman"/>
      </w:rPr>
    </w:lvl>
    <w:lvl w:ilvl="5" w:tplc="040C001B" w:tentative="1">
      <w:start w:val="1"/>
      <w:numFmt w:val="lowerRoman"/>
      <w:lvlText w:val="%6."/>
      <w:lvlJc w:val="right"/>
      <w:pPr>
        <w:tabs>
          <w:tab w:val="num" w:pos="4140"/>
        </w:tabs>
        <w:ind w:left="4140" w:hanging="180"/>
      </w:pPr>
      <w:rPr>
        <w:rFonts w:cs="Times New Roman"/>
      </w:rPr>
    </w:lvl>
    <w:lvl w:ilvl="6" w:tplc="040C000F" w:tentative="1">
      <w:start w:val="1"/>
      <w:numFmt w:val="decimal"/>
      <w:lvlText w:val="%7."/>
      <w:lvlJc w:val="left"/>
      <w:pPr>
        <w:tabs>
          <w:tab w:val="num" w:pos="4860"/>
        </w:tabs>
        <w:ind w:left="4860" w:hanging="360"/>
      </w:pPr>
      <w:rPr>
        <w:rFonts w:cs="Times New Roman"/>
      </w:rPr>
    </w:lvl>
    <w:lvl w:ilvl="7" w:tplc="040C0019" w:tentative="1">
      <w:start w:val="1"/>
      <w:numFmt w:val="lowerLetter"/>
      <w:lvlText w:val="%8."/>
      <w:lvlJc w:val="left"/>
      <w:pPr>
        <w:tabs>
          <w:tab w:val="num" w:pos="5580"/>
        </w:tabs>
        <w:ind w:left="5580" w:hanging="360"/>
      </w:pPr>
      <w:rPr>
        <w:rFonts w:cs="Times New Roman"/>
      </w:rPr>
    </w:lvl>
    <w:lvl w:ilvl="8" w:tplc="040C001B" w:tentative="1">
      <w:start w:val="1"/>
      <w:numFmt w:val="lowerRoman"/>
      <w:lvlText w:val="%9."/>
      <w:lvlJc w:val="right"/>
      <w:pPr>
        <w:tabs>
          <w:tab w:val="num" w:pos="6300"/>
        </w:tabs>
        <w:ind w:left="6300" w:hanging="180"/>
      </w:pPr>
      <w:rPr>
        <w:rFonts w:cs="Times New Roman"/>
      </w:rPr>
    </w:lvl>
  </w:abstractNum>
  <w:abstractNum w:abstractNumId="20">
    <w:nsid w:val="54586865"/>
    <w:multiLevelType w:val="hybridMultilevel"/>
    <w:tmpl w:val="65585EBE"/>
    <w:lvl w:ilvl="0" w:tplc="040C000F">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num w:numId="1">
    <w:abstractNumId w:val="16"/>
  </w:num>
  <w:num w:numId="2">
    <w:abstractNumId w:val="17"/>
  </w:num>
  <w:num w:numId="3">
    <w:abstractNumId w:val="12"/>
  </w:num>
  <w:num w:numId="4">
    <w:abstractNumId w:val="19"/>
  </w:num>
  <w:num w:numId="5">
    <w:abstractNumId w:val="14"/>
  </w:num>
  <w:num w:numId="6">
    <w:abstractNumId w:val="20"/>
  </w:num>
  <w:num w:numId="7">
    <w:abstractNumId w:val="11"/>
  </w:num>
  <w:num w:numId="8">
    <w:abstractNumId w:val="13"/>
  </w:num>
  <w:num w:numId="9">
    <w:abstractNumId w:val="15"/>
  </w:num>
  <w:num w:numId="10">
    <w:abstractNumId w:val="18"/>
  </w:num>
  <w:num w:numId="11">
    <w:abstractNumId w:val="9"/>
  </w:num>
  <w:num w:numId="12">
    <w:abstractNumId w:val="4"/>
  </w:num>
  <w:num w:numId="13">
    <w:abstractNumId w:val="3"/>
  </w:num>
  <w:num w:numId="14">
    <w:abstractNumId w:val="2"/>
  </w:num>
  <w:num w:numId="15">
    <w:abstractNumId w:val="1"/>
  </w:num>
  <w:num w:numId="16">
    <w:abstractNumId w:val="10"/>
  </w:num>
  <w:num w:numId="17">
    <w:abstractNumId w:val="8"/>
  </w:num>
  <w:num w:numId="18">
    <w:abstractNumId w:val="7"/>
  </w:num>
  <w:num w:numId="19">
    <w:abstractNumId w:val="6"/>
  </w:num>
  <w:num w:numId="20">
    <w:abstractNumId w:val="5"/>
  </w:num>
  <w:num w:numId="2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rsids>
    <w:rsidRoot w:val="00225887"/>
    <w:rsid w:val="00000A5B"/>
    <w:rsid w:val="00007197"/>
    <w:rsid w:val="000123F9"/>
    <w:rsid w:val="00015A87"/>
    <w:rsid w:val="00023F09"/>
    <w:rsid w:val="00031910"/>
    <w:rsid w:val="000473C1"/>
    <w:rsid w:val="000716E2"/>
    <w:rsid w:val="000857F0"/>
    <w:rsid w:val="000C5679"/>
    <w:rsid w:val="000D53E1"/>
    <w:rsid w:val="000D66E6"/>
    <w:rsid w:val="000E59D6"/>
    <w:rsid w:val="001115A9"/>
    <w:rsid w:val="001270C8"/>
    <w:rsid w:val="00141FA6"/>
    <w:rsid w:val="00153F24"/>
    <w:rsid w:val="001559B5"/>
    <w:rsid w:val="00161961"/>
    <w:rsid w:val="001757EA"/>
    <w:rsid w:val="00194AD7"/>
    <w:rsid w:val="00197C59"/>
    <w:rsid w:val="001A4548"/>
    <w:rsid w:val="001B13DB"/>
    <w:rsid w:val="001B2E77"/>
    <w:rsid w:val="001B377A"/>
    <w:rsid w:val="001C40DF"/>
    <w:rsid w:val="001D1A71"/>
    <w:rsid w:val="0020131D"/>
    <w:rsid w:val="002146B0"/>
    <w:rsid w:val="0021493A"/>
    <w:rsid w:val="00225887"/>
    <w:rsid w:val="00265D1A"/>
    <w:rsid w:val="0027118B"/>
    <w:rsid w:val="002844C5"/>
    <w:rsid w:val="002A0B32"/>
    <w:rsid w:val="002A7558"/>
    <w:rsid w:val="002E15A2"/>
    <w:rsid w:val="002E2341"/>
    <w:rsid w:val="002E3095"/>
    <w:rsid w:val="00300E7A"/>
    <w:rsid w:val="003058B6"/>
    <w:rsid w:val="00313F18"/>
    <w:rsid w:val="0032470D"/>
    <w:rsid w:val="00330EFA"/>
    <w:rsid w:val="00340031"/>
    <w:rsid w:val="003404DE"/>
    <w:rsid w:val="00357B3B"/>
    <w:rsid w:val="00374078"/>
    <w:rsid w:val="00397FD3"/>
    <w:rsid w:val="003A1D1C"/>
    <w:rsid w:val="003A52E3"/>
    <w:rsid w:val="003A677D"/>
    <w:rsid w:val="003D1D88"/>
    <w:rsid w:val="00412757"/>
    <w:rsid w:val="00436A81"/>
    <w:rsid w:val="0044088D"/>
    <w:rsid w:val="004648A8"/>
    <w:rsid w:val="0048115C"/>
    <w:rsid w:val="00495036"/>
    <w:rsid w:val="004B3160"/>
    <w:rsid w:val="004B3618"/>
    <w:rsid w:val="004D14BA"/>
    <w:rsid w:val="004E0D6E"/>
    <w:rsid w:val="004E1C49"/>
    <w:rsid w:val="004E2911"/>
    <w:rsid w:val="00510F89"/>
    <w:rsid w:val="00512BC6"/>
    <w:rsid w:val="00514AF4"/>
    <w:rsid w:val="00515F5C"/>
    <w:rsid w:val="005215B8"/>
    <w:rsid w:val="00527C7E"/>
    <w:rsid w:val="005540C9"/>
    <w:rsid w:val="005657A3"/>
    <w:rsid w:val="0056639C"/>
    <w:rsid w:val="00572C04"/>
    <w:rsid w:val="0057625D"/>
    <w:rsid w:val="00582F9D"/>
    <w:rsid w:val="00596604"/>
    <w:rsid w:val="005C03E5"/>
    <w:rsid w:val="005E05C1"/>
    <w:rsid w:val="005F31ED"/>
    <w:rsid w:val="005F41F9"/>
    <w:rsid w:val="006128AC"/>
    <w:rsid w:val="00615362"/>
    <w:rsid w:val="00622802"/>
    <w:rsid w:val="00636E7D"/>
    <w:rsid w:val="0066308B"/>
    <w:rsid w:val="00696425"/>
    <w:rsid w:val="006A49E7"/>
    <w:rsid w:val="006D2808"/>
    <w:rsid w:val="006E65EE"/>
    <w:rsid w:val="006F5DC5"/>
    <w:rsid w:val="00700051"/>
    <w:rsid w:val="007017B4"/>
    <w:rsid w:val="00702AD1"/>
    <w:rsid w:val="00707158"/>
    <w:rsid w:val="0071080F"/>
    <w:rsid w:val="00716783"/>
    <w:rsid w:val="00740144"/>
    <w:rsid w:val="00756940"/>
    <w:rsid w:val="0076359B"/>
    <w:rsid w:val="00771071"/>
    <w:rsid w:val="00783873"/>
    <w:rsid w:val="007A22C2"/>
    <w:rsid w:val="007B1357"/>
    <w:rsid w:val="007B52D5"/>
    <w:rsid w:val="007C4A7C"/>
    <w:rsid w:val="007C6E61"/>
    <w:rsid w:val="007D55AB"/>
    <w:rsid w:val="00802ADF"/>
    <w:rsid w:val="00823D84"/>
    <w:rsid w:val="00833556"/>
    <w:rsid w:val="00852828"/>
    <w:rsid w:val="00852D94"/>
    <w:rsid w:val="008631D1"/>
    <w:rsid w:val="00866F52"/>
    <w:rsid w:val="00867B3A"/>
    <w:rsid w:val="00872284"/>
    <w:rsid w:val="00882156"/>
    <w:rsid w:val="008A0451"/>
    <w:rsid w:val="008A50A0"/>
    <w:rsid w:val="008A5156"/>
    <w:rsid w:val="008A5B08"/>
    <w:rsid w:val="008A7FCD"/>
    <w:rsid w:val="008B4E43"/>
    <w:rsid w:val="008C1501"/>
    <w:rsid w:val="008C2DC5"/>
    <w:rsid w:val="008C6A9D"/>
    <w:rsid w:val="008D606A"/>
    <w:rsid w:val="008E2A6F"/>
    <w:rsid w:val="008E4DED"/>
    <w:rsid w:val="00903554"/>
    <w:rsid w:val="00914F00"/>
    <w:rsid w:val="009211A5"/>
    <w:rsid w:val="00934465"/>
    <w:rsid w:val="009507F2"/>
    <w:rsid w:val="00950A4F"/>
    <w:rsid w:val="009556E4"/>
    <w:rsid w:val="00957876"/>
    <w:rsid w:val="0098322A"/>
    <w:rsid w:val="00993578"/>
    <w:rsid w:val="00994C87"/>
    <w:rsid w:val="009A7E3F"/>
    <w:rsid w:val="009B21B4"/>
    <w:rsid w:val="009B2D62"/>
    <w:rsid w:val="009B487E"/>
    <w:rsid w:val="009B505F"/>
    <w:rsid w:val="009D0FF4"/>
    <w:rsid w:val="009F6F64"/>
    <w:rsid w:val="00A1127C"/>
    <w:rsid w:val="00A134D0"/>
    <w:rsid w:val="00A4476A"/>
    <w:rsid w:val="00A650AB"/>
    <w:rsid w:val="00A73C4C"/>
    <w:rsid w:val="00A916F0"/>
    <w:rsid w:val="00A92578"/>
    <w:rsid w:val="00A9364F"/>
    <w:rsid w:val="00AC0204"/>
    <w:rsid w:val="00AC7954"/>
    <w:rsid w:val="00AE43BC"/>
    <w:rsid w:val="00B12558"/>
    <w:rsid w:val="00B33ABF"/>
    <w:rsid w:val="00B36074"/>
    <w:rsid w:val="00B6021A"/>
    <w:rsid w:val="00B674D5"/>
    <w:rsid w:val="00B848B5"/>
    <w:rsid w:val="00B9482B"/>
    <w:rsid w:val="00B95F5B"/>
    <w:rsid w:val="00BC351E"/>
    <w:rsid w:val="00BC48B3"/>
    <w:rsid w:val="00BC5D0C"/>
    <w:rsid w:val="00BC62C6"/>
    <w:rsid w:val="00BD484F"/>
    <w:rsid w:val="00BD63B9"/>
    <w:rsid w:val="00BD72EB"/>
    <w:rsid w:val="00BF1396"/>
    <w:rsid w:val="00C00193"/>
    <w:rsid w:val="00C17946"/>
    <w:rsid w:val="00C30226"/>
    <w:rsid w:val="00C31010"/>
    <w:rsid w:val="00C32E2C"/>
    <w:rsid w:val="00C4748C"/>
    <w:rsid w:val="00C476F9"/>
    <w:rsid w:val="00C52C84"/>
    <w:rsid w:val="00C56E74"/>
    <w:rsid w:val="00C814CA"/>
    <w:rsid w:val="00CB22D3"/>
    <w:rsid w:val="00CC232B"/>
    <w:rsid w:val="00CF16C1"/>
    <w:rsid w:val="00CF6D44"/>
    <w:rsid w:val="00D072DE"/>
    <w:rsid w:val="00D13FCC"/>
    <w:rsid w:val="00D25F54"/>
    <w:rsid w:val="00D307CF"/>
    <w:rsid w:val="00D356B3"/>
    <w:rsid w:val="00D35FC7"/>
    <w:rsid w:val="00D53787"/>
    <w:rsid w:val="00D7177D"/>
    <w:rsid w:val="00D72838"/>
    <w:rsid w:val="00D830C5"/>
    <w:rsid w:val="00D97C41"/>
    <w:rsid w:val="00DA0913"/>
    <w:rsid w:val="00DA5748"/>
    <w:rsid w:val="00DB1E47"/>
    <w:rsid w:val="00DB4958"/>
    <w:rsid w:val="00DB712E"/>
    <w:rsid w:val="00DC61F9"/>
    <w:rsid w:val="00DC7B07"/>
    <w:rsid w:val="00DE67B0"/>
    <w:rsid w:val="00DF36AC"/>
    <w:rsid w:val="00DF7ABB"/>
    <w:rsid w:val="00E101FE"/>
    <w:rsid w:val="00E22CFD"/>
    <w:rsid w:val="00E443FF"/>
    <w:rsid w:val="00E65A17"/>
    <w:rsid w:val="00E66AC3"/>
    <w:rsid w:val="00E6757E"/>
    <w:rsid w:val="00E76603"/>
    <w:rsid w:val="00E822B0"/>
    <w:rsid w:val="00E92F5B"/>
    <w:rsid w:val="00E958FD"/>
    <w:rsid w:val="00EB070E"/>
    <w:rsid w:val="00EB2794"/>
    <w:rsid w:val="00ED0620"/>
    <w:rsid w:val="00EE3D4E"/>
    <w:rsid w:val="00EE61AF"/>
    <w:rsid w:val="00EF2374"/>
    <w:rsid w:val="00EF74E8"/>
    <w:rsid w:val="00F22B78"/>
    <w:rsid w:val="00F22C4E"/>
    <w:rsid w:val="00F27678"/>
    <w:rsid w:val="00F52522"/>
    <w:rsid w:val="00F67164"/>
    <w:rsid w:val="00F803DE"/>
    <w:rsid w:val="00F92781"/>
    <w:rsid w:val="00FA1C03"/>
    <w:rsid w:val="00FB0241"/>
    <w:rsid w:val="00FB3DCB"/>
    <w:rsid w:val="00FC0D6C"/>
    <w:rsid w:val="00FC31FB"/>
    <w:rsid w:val="00FD6422"/>
    <w:rsid w:val="00FE445E"/>
    <w:rsid w:val="00FE5527"/>
  </w:rsids>
  <m:mathPr>
    <m:mathFont m:val="Wingdings 2"/>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823D84"/>
    <w:pPr>
      <w:spacing w:after="200" w:line="276" w:lineRule="auto"/>
    </w:pPr>
    <w:rPr>
      <w:lang w:eastAsia="en-US"/>
    </w:rPr>
  </w:style>
  <w:style w:type="paragraph" w:styleId="Titre1">
    <w:name w:val="heading 1"/>
    <w:basedOn w:val="Normal"/>
    <w:next w:val="Normal"/>
    <w:link w:val="Titre1Car"/>
    <w:uiPriority w:val="99"/>
    <w:qFormat/>
    <w:rsid w:val="0032470D"/>
    <w:pPr>
      <w:keepNext/>
      <w:keepLines/>
      <w:spacing w:before="480" w:after="0"/>
      <w:outlineLvl w:val="0"/>
    </w:pPr>
    <w:rPr>
      <w:rFonts w:ascii="Cambria" w:eastAsia="Times New Roman" w:hAnsi="Cambria"/>
      <w:b/>
      <w:bCs/>
      <w:color w:val="365F91"/>
      <w:sz w:val="28"/>
      <w:szCs w:val="28"/>
    </w:rPr>
  </w:style>
  <w:style w:type="paragraph" w:styleId="Titre6">
    <w:name w:val="heading 6"/>
    <w:basedOn w:val="Normal"/>
    <w:next w:val="Normal"/>
    <w:link w:val="Titre6Car"/>
    <w:uiPriority w:val="99"/>
    <w:qFormat/>
    <w:rsid w:val="00934465"/>
    <w:pPr>
      <w:keepNext/>
      <w:numPr>
        <w:ilvl w:val="5"/>
        <w:numId w:val="7"/>
      </w:numPr>
      <w:suppressAutoHyphens/>
      <w:spacing w:after="0" w:line="240" w:lineRule="auto"/>
      <w:jc w:val="center"/>
      <w:outlineLvl w:val="5"/>
    </w:pPr>
    <w:rPr>
      <w:rFonts w:ascii="Times New Roman" w:eastAsia="Times New Roman" w:hAnsi="Times New Roman"/>
      <w:b/>
      <w:sz w:val="52"/>
      <w:szCs w:val="20"/>
      <w:lang w:eastAsia="ar-SA"/>
    </w:rPr>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character" w:customStyle="1" w:styleId="Titre1Car">
    <w:name w:val="Titre 1 Car"/>
    <w:basedOn w:val="Policepardfaut"/>
    <w:link w:val="Titre1"/>
    <w:uiPriority w:val="99"/>
    <w:locked/>
    <w:rsid w:val="0032470D"/>
    <w:rPr>
      <w:rFonts w:ascii="Cambria" w:hAnsi="Cambria" w:cs="Times New Roman"/>
      <w:b/>
      <w:bCs/>
      <w:color w:val="365F91"/>
      <w:sz w:val="28"/>
      <w:szCs w:val="28"/>
    </w:rPr>
  </w:style>
  <w:style w:type="character" w:customStyle="1" w:styleId="Titre6Car">
    <w:name w:val="Titre 6 Car"/>
    <w:basedOn w:val="Policepardfaut"/>
    <w:link w:val="Titre6"/>
    <w:uiPriority w:val="99"/>
    <w:locked/>
    <w:rsid w:val="00934465"/>
    <w:rPr>
      <w:rFonts w:ascii="Times New Roman" w:hAnsi="Times New Roman" w:cs="Times New Roman"/>
      <w:b/>
      <w:sz w:val="20"/>
      <w:szCs w:val="20"/>
      <w:lang w:eastAsia="ar-SA" w:bidi="ar-SA"/>
    </w:rPr>
  </w:style>
  <w:style w:type="paragraph" w:styleId="Textedebulles">
    <w:name w:val="Balloon Text"/>
    <w:basedOn w:val="Normal"/>
    <w:link w:val="TextedebullesCar"/>
    <w:uiPriority w:val="99"/>
    <w:semiHidden/>
    <w:rsid w:val="0022588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225887"/>
    <w:rPr>
      <w:rFonts w:ascii="Tahoma" w:hAnsi="Tahoma" w:cs="Tahoma"/>
      <w:sz w:val="16"/>
      <w:szCs w:val="16"/>
    </w:rPr>
  </w:style>
  <w:style w:type="paragraph" w:styleId="Sansinterligne">
    <w:name w:val="No Spacing"/>
    <w:link w:val="SansinterligneCar"/>
    <w:uiPriority w:val="99"/>
    <w:qFormat/>
    <w:rsid w:val="00225887"/>
    <w:rPr>
      <w:rFonts w:eastAsia="Times New Roman"/>
    </w:rPr>
  </w:style>
  <w:style w:type="character" w:customStyle="1" w:styleId="SansinterligneCar">
    <w:name w:val="Sans interligne Car"/>
    <w:basedOn w:val="Policepardfaut"/>
    <w:link w:val="Sansinterligne"/>
    <w:uiPriority w:val="99"/>
    <w:locked/>
    <w:rsid w:val="00225887"/>
    <w:rPr>
      <w:rFonts w:eastAsia="Times New Roman" w:cs="Times New Roman"/>
      <w:sz w:val="22"/>
      <w:szCs w:val="22"/>
      <w:lang w:val="fr-FR" w:eastAsia="fr-FR" w:bidi="ar-SA"/>
    </w:rPr>
  </w:style>
  <w:style w:type="paragraph" w:styleId="En-ttedetabledesmatires">
    <w:name w:val="TOC Heading"/>
    <w:basedOn w:val="Titre1"/>
    <w:next w:val="Normal"/>
    <w:uiPriority w:val="99"/>
    <w:qFormat/>
    <w:rsid w:val="0032470D"/>
    <w:pPr>
      <w:outlineLvl w:val="9"/>
    </w:pPr>
    <w:rPr>
      <w:lang w:eastAsia="fr-FR"/>
    </w:rPr>
  </w:style>
  <w:style w:type="paragraph" w:customStyle="1" w:styleId="Corpsdetexte21">
    <w:name w:val="Corps de texte 21"/>
    <w:basedOn w:val="Normal"/>
    <w:uiPriority w:val="99"/>
    <w:rsid w:val="00D830C5"/>
    <w:pPr>
      <w:suppressAutoHyphens/>
      <w:spacing w:after="0" w:line="240" w:lineRule="auto"/>
      <w:jc w:val="center"/>
    </w:pPr>
    <w:rPr>
      <w:rFonts w:ascii="Garamond" w:eastAsia="Times New Roman" w:hAnsi="Garamond"/>
      <w:b/>
      <w:sz w:val="24"/>
      <w:szCs w:val="20"/>
      <w:u w:val="single"/>
      <w:lang w:eastAsia="ar-SA"/>
    </w:rPr>
  </w:style>
  <w:style w:type="paragraph" w:styleId="Paragraphedeliste">
    <w:name w:val="List Paragraph"/>
    <w:basedOn w:val="Normal"/>
    <w:uiPriority w:val="99"/>
    <w:qFormat/>
    <w:rsid w:val="00994C87"/>
    <w:pPr>
      <w:spacing w:after="0" w:line="240" w:lineRule="auto"/>
      <w:ind w:left="720"/>
      <w:contextualSpacing/>
    </w:pPr>
    <w:rPr>
      <w:rFonts w:ascii="Times New Roman" w:eastAsia="Times New Roman" w:hAnsi="Times New Roman"/>
      <w:sz w:val="24"/>
      <w:szCs w:val="24"/>
      <w:lang w:eastAsia="fr-FR"/>
    </w:rPr>
  </w:style>
  <w:style w:type="paragraph" w:styleId="En-tte">
    <w:name w:val="header"/>
    <w:basedOn w:val="Normal"/>
    <w:link w:val="En-tteCar"/>
    <w:uiPriority w:val="99"/>
    <w:rsid w:val="00C00193"/>
    <w:pPr>
      <w:tabs>
        <w:tab w:val="center" w:pos="4536"/>
        <w:tab w:val="right" w:pos="9072"/>
      </w:tabs>
      <w:spacing w:after="0" w:line="240" w:lineRule="auto"/>
    </w:pPr>
  </w:style>
  <w:style w:type="character" w:customStyle="1" w:styleId="En-tteCar">
    <w:name w:val="En-tête Car"/>
    <w:basedOn w:val="Policepardfaut"/>
    <w:link w:val="En-tte"/>
    <w:uiPriority w:val="99"/>
    <w:locked/>
    <w:rsid w:val="00C00193"/>
    <w:rPr>
      <w:rFonts w:cs="Times New Roman"/>
    </w:rPr>
  </w:style>
  <w:style w:type="paragraph" w:styleId="Pieddepage">
    <w:name w:val="footer"/>
    <w:basedOn w:val="Normal"/>
    <w:link w:val="PieddepageCar"/>
    <w:uiPriority w:val="99"/>
    <w:rsid w:val="00C00193"/>
    <w:pPr>
      <w:tabs>
        <w:tab w:val="center" w:pos="4536"/>
        <w:tab w:val="right" w:pos="9072"/>
      </w:tabs>
      <w:spacing w:after="0" w:line="240" w:lineRule="auto"/>
    </w:pPr>
  </w:style>
  <w:style w:type="character" w:customStyle="1" w:styleId="PieddepageCar">
    <w:name w:val="Pied de page Car"/>
    <w:basedOn w:val="Policepardfaut"/>
    <w:link w:val="Pieddepage"/>
    <w:uiPriority w:val="99"/>
    <w:locked/>
    <w:rsid w:val="00C00193"/>
    <w:rPr>
      <w:rFonts w:cs="Times New Roman"/>
    </w:rPr>
  </w:style>
  <w:style w:type="table" w:styleId="Trameclaire-Accent1">
    <w:name w:val="Light Shading Accent 1"/>
    <w:basedOn w:val="TableauNormal"/>
    <w:uiPriority w:val="99"/>
    <w:rsid w:val="000E59D6"/>
    <w:rPr>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Trameclaire-Accent3">
    <w:name w:val="Light Shading Accent 3"/>
    <w:basedOn w:val="TableauNormal"/>
    <w:uiPriority w:val="99"/>
    <w:rsid w:val="000E59D6"/>
    <w:rPr>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Tramemoyenne2-Accent3">
    <w:name w:val="Medium Shading 2 Accent 3"/>
    <w:basedOn w:val="TableauNormal"/>
    <w:uiPriority w:val="99"/>
    <w:rsid w:val="000E59D6"/>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customStyle="1" w:styleId="Default">
    <w:name w:val="Default"/>
    <w:uiPriority w:val="99"/>
    <w:rsid w:val="008B4E43"/>
    <w:pPr>
      <w:autoSpaceDE w:val="0"/>
      <w:autoSpaceDN w:val="0"/>
      <w:adjustRightInd w:val="0"/>
    </w:pPr>
    <w:rPr>
      <w:rFonts w:ascii="Conduit ITC" w:hAnsi="Conduit ITC" w:cs="Conduit ITC"/>
      <w:color w:val="000000"/>
      <w:sz w:val="24"/>
      <w:szCs w:val="24"/>
      <w:lang w:eastAsia="en-US"/>
    </w:rPr>
  </w:style>
  <w:style w:type="table" w:styleId="Tramemoyenne2-Accent4">
    <w:name w:val="Medium Shading 2 Accent 4"/>
    <w:basedOn w:val="TableauNormal"/>
    <w:uiPriority w:val="99"/>
    <w:rsid w:val="001B13DB"/>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ramemoyenne1-Accent4">
    <w:name w:val="Medium Shading 1 Accent 4"/>
    <w:basedOn w:val="TableauNormal"/>
    <w:uiPriority w:val="99"/>
    <w:rsid w:val="001B13DB"/>
    <w:rPr>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Tramemoyenne1-Accent6">
    <w:name w:val="Medium Shading 1 Accent 6"/>
    <w:basedOn w:val="TableauNormal"/>
    <w:uiPriority w:val="99"/>
    <w:rsid w:val="001B13DB"/>
    <w:rPr>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743261311">
      <w:marLeft w:val="0"/>
      <w:marRight w:val="0"/>
      <w:marTop w:val="0"/>
      <w:marBottom w:val="0"/>
      <w:divBdr>
        <w:top w:val="none" w:sz="0" w:space="0" w:color="auto"/>
        <w:left w:val="none" w:sz="0" w:space="0" w:color="auto"/>
        <w:bottom w:val="none" w:sz="0" w:space="0" w:color="auto"/>
        <w:right w:val="none" w:sz="0" w:space="0" w:color="auto"/>
      </w:divBdr>
      <w:divsChild>
        <w:div w:id="743261322">
          <w:marLeft w:val="547"/>
          <w:marRight w:val="0"/>
          <w:marTop w:val="0"/>
          <w:marBottom w:val="0"/>
          <w:divBdr>
            <w:top w:val="none" w:sz="0" w:space="0" w:color="auto"/>
            <w:left w:val="none" w:sz="0" w:space="0" w:color="auto"/>
            <w:bottom w:val="none" w:sz="0" w:space="0" w:color="auto"/>
            <w:right w:val="none" w:sz="0" w:space="0" w:color="auto"/>
          </w:divBdr>
        </w:div>
      </w:divsChild>
    </w:div>
    <w:div w:id="743261312">
      <w:marLeft w:val="0"/>
      <w:marRight w:val="0"/>
      <w:marTop w:val="0"/>
      <w:marBottom w:val="0"/>
      <w:divBdr>
        <w:top w:val="none" w:sz="0" w:space="0" w:color="auto"/>
        <w:left w:val="none" w:sz="0" w:space="0" w:color="auto"/>
        <w:bottom w:val="none" w:sz="0" w:space="0" w:color="auto"/>
        <w:right w:val="none" w:sz="0" w:space="0" w:color="auto"/>
      </w:divBdr>
    </w:div>
    <w:div w:id="743261314">
      <w:marLeft w:val="0"/>
      <w:marRight w:val="0"/>
      <w:marTop w:val="0"/>
      <w:marBottom w:val="0"/>
      <w:divBdr>
        <w:top w:val="none" w:sz="0" w:space="0" w:color="auto"/>
        <w:left w:val="none" w:sz="0" w:space="0" w:color="auto"/>
        <w:bottom w:val="none" w:sz="0" w:space="0" w:color="auto"/>
        <w:right w:val="none" w:sz="0" w:space="0" w:color="auto"/>
      </w:divBdr>
      <w:divsChild>
        <w:div w:id="743261313">
          <w:marLeft w:val="547"/>
          <w:marRight w:val="0"/>
          <w:marTop w:val="0"/>
          <w:marBottom w:val="0"/>
          <w:divBdr>
            <w:top w:val="none" w:sz="0" w:space="0" w:color="auto"/>
            <w:left w:val="none" w:sz="0" w:space="0" w:color="auto"/>
            <w:bottom w:val="none" w:sz="0" w:space="0" w:color="auto"/>
            <w:right w:val="none" w:sz="0" w:space="0" w:color="auto"/>
          </w:divBdr>
        </w:div>
      </w:divsChild>
    </w:div>
    <w:div w:id="743261315">
      <w:marLeft w:val="0"/>
      <w:marRight w:val="0"/>
      <w:marTop w:val="0"/>
      <w:marBottom w:val="0"/>
      <w:divBdr>
        <w:top w:val="none" w:sz="0" w:space="0" w:color="auto"/>
        <w:left w:val="none" w:sz="0" w:space="0" w:color="auto"/>
        <w:bottom w:val="none" w:sz="0" w:space="0" w:color="auto"/>
        <w:right w:val="none" w:sz="0" w:space="0" w:color="auto"/>
      </w:divBdr>
    </w:div>
    <w:div w:id="743261316">
      <w:marLeft w:val="0"/>
      <w:marRight w:val="0"/>
      <w:marTop w:val="0"/>
      <w:marBottom w:val="0"/>
      <w:divBdr>
        <w:top w:val="none" w:sz="0" w:space="0" w:color="auto"/>
        <w:left w:val="none" w:sz="0" w:space="0" w:color="auto"/>
        <w:bottom w:val="none" w:sz="0" w:space="0" w:color="auto"/>
        <w:right w:val="none" w:sz="0" w:space="0" w:color="auto"/>
      </w:divBdr>
    </w:div>
    <w:div w:id="743261317">
      <w:marLeft w:val="0"/>
      <w:marRight w:val="0"/>
      <w:marTop w:val="0"/>
      <w:marBottom w:val="0"/>
      <w:divBdr>
        <w:top w:val="none" w:sz="0" w:space="0" w:color="auto"/>
        <w:left w:val="none" w:sz="0" w:space="0" w:color="auto"/>
        <w:bottom w:val="none" w:sz="0" w:space="0" w:color="auto"/>
        <w:right w:val="none" w:sz="0" w:space="0" w:color="auto"/>
      </w:divBdr>
    </w:div>
    <w:div w:id="743261318">
      <w:marLeft w:val="0"/>
      <w:marRight w:val="0"/>
      <w:marTop w:val="0"/>
      <w:marBottom w:val="0"/>
      <w:divBdr>
        <w:top w:val="none" w:sz="0" w:space="0" w:color="auto"/>
        <w:left w:val="none" w:sz="0" w:space="0" w:color="auto"/>
        <w:bottom w:val="none" w:sz="0" w:space="0" w:color="auto"/>
        <w:right w:val="none" w:sz="0" w:space="0" w:color="auto"/>
      </w:divBdr>
    </w:div>
    <w:div w:id="743261320">
      <w:marLeft w:val="0"/>
      <w:marRight w:val="0"/>
      <w:marTop w:val="0"/>
      <w:marBottom w:val="0"/>
      <w:divBdr>
        <w:top w:val="none" w:sz="0" w:space="0" w:color="auto"/>
        <w:left w:val="none" w:sz="0" w:space="0" w:color="auto"/>
        <w:bottom w:val="none" w:sz="0" w:space="0" w:color="auto"/>
        <w:right w:val="none" w:sz="0" w:space="0" w:color="auto"/>
      </w:divBdr>
    </w:div>
    <w:div w:id="743261321">
      <w:marLeft w:val="0"/>
      <w:marRight w:val="0"/>
      <w:marTop w:val="0"/>
      <w:marBottom w:val="0"/>
      <w:divBdr>
        <w:top w:val="none" w:sz="0" w:space="0" w:color="auto"/>
        <w:left w:val="none" w:sz="0" w:space="0" w:color="auto"/>
        <w:bottom w:val="none" w:sz="0" w:space="0" w:color="auto"/>
        <w:right w:val="none" w:sz="0" w:space="0" w:color="auto"/>
      </w:divBdr>
      <w:divsChild>
        <w:div w:id="74326131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10" Type="http://schemas.openxmlformats.org/officeDocument/2006/relationships/footer" Target="footer2.xml"/><Relationship Id="rId11" Type="http://schemas.openxmlformats.org/officeDocument/2006/relationships/diagramData" Target="diagrams/data1.xml"/><Relationship Id="rId12" Type="http://schemas.openxmlformats.org/officeDocument/2006/relationships/diagramLayout" Target="diagrams/layout1.xml"/><Relationship Id="rId13" Type="http://schemas.openxmlformats.org/officeDocument/2006/relationships/diagramQuickStyle" Target="diagrams/quickStyle1.xml"/><Relationship Id="rId14" Type="http://schemas.openxmlformats.org/officeDocument/2006/relationships/diagramColors" Target="diagrams/colors1.xml"/><Relationship Id="rId15" Type="http://schemas.microsoft.com/office/2007/relationships/diagramDrawing" Target="diagrams/drawing1.xml"/><Relationship Id="rId16" Type="http://schemas.openxmlformats.org/officeDocument/2006/relationships/image" Target="media/image4.png"/><Relationship Id="rId17" Type="http://schemas.openxmlformats.org/officeDocument/2006/relationships/diagramData" Target="diagrams/data2.xml"/><Relationship Id="rId18" Type="http://schemas.openxmlformats.org/officeDocument/2006/relationships/diagramLayout" Target="diagrams/layout2.xml"/><Relationship Id="rId19" Type="http://schemas.openxmlformats.org/officeDocument/2006/relationships/diagramQuickStyle" Target="diagrams/quickStyle2.xml"/><Relationship Id="rId60" Type="http://schemas.openxmlformats.org/officeDocument/2006/relationships/diagramData" Target="diagrams/data9.xml"/><Relationship Id="rId61" Type="http://schemas.openxmlformats.org/officeDocument/2006/relationships/diagramLayout" Target="diagrams/layout9.xml"/><Relationship Id="rId62" Type="http://schemas.openxmlformats.org/officeDocument/2006/relationships/diagramQuickStyle" Target="diagrams/quickStyle9.xml"/><Relationship Id="rId63" Type="http://schemas.openxmlformats.org/officeDocument/2006/relationships/diagramColors" Target="diagrams/colors9.xml"/><Relationship Id="rId64" Type="http://schemas.microsoft.com/office/2007/relationships/diagramDrawing" Target="diagrams/drawing9.xml"/><Relationship Id="rId65" Type="http://schemas.openxmlformats.org/officeDocument/2006/relationships/chart" Target="charts/chart8.xml"/><Relationship Id="rId66" Type="http://schemas.openxmlformats.org/officeDocument/2006/relationships/chart" Target="charts/chart9.xml"/><Relationship Id="rId67" Type="http://schemas.openxmlformats.org/officeDocument/2006/relationships/diagramData" Target="diagrams/data10.xml"/><Relationship Id="rId68" Type="http://schemas.openxmlformats.org/officeDocument/2006/relationships/diagramLayout" Target="diagrams/layout10.xml"/><Relationship Id="rId69" Type="http://schemas.openxmlformats.org/officeDocument/2006/relationships/diagramQuickStyle" Target="diagrams/quickStyle10.xml"/><Relationship Id="rId120" Type="http://schemas.openxmlformats.org/officeDocument/2006/relationships/diagramLayout" Target="diagrams/layout19.xml"/><Relationship Id="rId121" Type="http://schemas.openxmlformats.org/officeDocument/2006/relationships/diagramQuickStyle" Target="diagrams/quickStyle19.xml"/><Relationship Id="rId122" Type="http://schemas.openxmlformats.org/officeDocument/2006/relationships/diagramColors" Target="diagrams/colors19.xml"/><Relationship Id="rId123" Type="http://schemas.microsoft.com/office/2007/relationships/diagramDrawing" Target="diagrams/drawing19.xml"/><Relationship Id="rId124" Type="http://schemas.openxmlformats.org/officeDocument/2006/relationships/diagramData" Target="diagrams/data20.xml"/><Relationship Id="rId125" Type="http://schemas.openxmlformats.org/officeDocument/2006/relationships/diagramLayout" Target="diagrams/layout20.xml"/><Relationship Id="rId126" Type="http://schemas.openxmlformats.org/officeDocument/2006/relationships/diagramQuickStyle" Target="diagrams/quickStyle20.xml"/><Relationship Id="rId127" Type="http://schemas.openxmlformats.org/officeDocument/2006/relationships/diagramColors" Target="diagrams/colors20.xml"/><Relationship Id="rId128" Type="http://schemas.microsoft.com/office/2007/relationships/diagramDrawing" Target="diagrams/drawing20.xml"/><Relationship Id="rId129" Type="http://schemas.openxmlformats.org/officeDocument/2006/relationships/fontTable" Target="fontTable.xml"/><Relationship Id="rId40" Type="http://schemas.openxmlformats.org/officeDocument/2006/relationships/diagramData" Target="diagrams/data6.xml"/><Relationship Id="rId41" Type="http://schemas.openxmlformats.org/officeDocument/2006/relationships/diagramLayout" Target="diagrams/layout6.xml"/><Relationship Id="rId42" Type="http://schemas.openxmlformats.org/officeDocument/2006/relationships/diagramQuickStyle" Target="diagrams/quickStyle6.xml"/><Relationship Id="rId90" Type="http://schemas.openxmlformats.org/officeDocument/2006/relationships/diagramColors" Target="diagrams/colors13.xml"/><Relationship Id="rId91" Type="http://schemas.microsoft.com/office/2007/relationships/diagramDrawing" Target="diagrams/drawing13.xml"/><Relationship Id="rId92" Type="http://schemas.openxmlformats.org/officeDocument/2006/relationships/chart" Target="charts/chart15.xml"/><Relationship Id="rId93" Type="http://schemas.openxmlformats.org/officeDocument/2006/relationships/chart" Target="charts/chart16.xml"/><Relationship Id="rId94" Type="http://schemas.openxmlformats.org/officeDocument/2006/relationships/diagramData" Target="diagrams/data14.xml"/><Relationship Id="rId95" Type="http://schemas.openxmlformats.org/officeDocument/2006/relationships/diagramLayout" Target="diagrams/layout14.xml"/><Relationship Id="rId96" Type="http://schemas.openxmlformats.org/officeDocument/2006/relationships/diagramQuickStyle" Target="diagrams/quickStyle14.xml"/><Relationship Id="rId101" Type="http://schemas.openxmlformats.org/officeDocument/2006/relationships/diagramQuickStyle" Target="diagrams/quickStyle15.xml"/><Relationship Id="rId102" Type="http://schemas.openxmlformats.org/officeDocument/2006/relationships/diagramColors" Target="diagrams/colors15.xml"/><Relationship Id="rId103" Type="http://schemas.microsoft.com/office/2007/relationships/diagramDrawing" Target="diagrams/drawing15.xml"/><Relationship Id="rId104" Type="http://schemas.openxmlformats.org/officeDocument/2006/relationships/diagramData" Target="diagrams/data16.xml"/><Relationship Id="rId105" Type="http://schemas.openxmlformats.org/officeDocument/2006/relationships/diagramLayout" Target="diagrams/layout16.xml"/><Relationship Id="rId106" Type="http://schemas.openxmlformats.org/officeDocument/2006/relationships/diagramQuickStyle" Target="diagrams/quickStyle16.xml"/><Relationship Id="rId107" Type="http://schemas.openxmlformats.org/officeDocument/2006/relationships/diagramColors" Target="diagrams/colors16.xml"/><Relationship Id="rId108" Type="http://schemas.microsoft.com/office/2007/relationships/diagramDrawing" Target="diagrams/drawing16.xml"/><Relationship Id="rId109" Type="http://schemas.openxmlformats.org/officeDocument/2006/relationships/diagramData" Target="diagrams/data17.xml"/><Relationship Id="rId97" Type="http://schemas.openxmlformats.org/officeDocument/2006/relationships/diagramColors" Target="diagrams/colors14.xml"/><Relationship Id="rId98" Type="http://schemas.microsoft.com/office/2007/relationships/diagramDrawing" Target="diagrams/drawing14.xml"/><Relationship Id="rId99" Type="http://schemas.openxmlformats.org/officeDocument/2006/relationships/diagramData" Target="diagrams/data15.xml"/><Relationship Id="rId43" Type="http://schemas.openxmlformats.org/officeDocument/2006/relationships/diagramColors" Target="diagrams/colors6.xml"/><Relationship Id="rId44" Type="http://schemas.microsoft.com/office/2007/relationships/diagramDrawing" Target="diagrams/drawing6.xml"/><Relationship Id="rId45" Type="http://schemas.openxmlformats.org/officeDocument/2006/relationships/chart" Target="charts/chart4.xml"/><Relationship Id="rId46" Type="http://schemas.openxmlformats.org/officeDocument/2006/relationships/diagramData" Target="diagrams/data7.xml"/><Relationship Id="rId47" Type="http://schemas.openxmlformats.org/officeDocument/2006/relationships/diagramLayout" Target="diagrams/layout7.xml"/><Relationship Id="rId48" Type="http://schemas.openxmlformats.org/officeDocument/2006/relationships/diagramQuickStyle" Target="diagrams/quickStyle7.xml"/><Relationship Id="rId49" Type="http://schemas.openxmlformats.org/officeDocument/2006/relationships/diagramColors" Target="diagrams/colors7.xml"/><Relationship Id="rId100" Type="http://schemas.openxmlformats.org/officeDocument/2006/relationships/diagramLayout" Target="diagrams/layout15.xml"/><Relationship Id="rId20" Type="http://schemas.openxmlformats.org/officeDocument/2006/relationships/diagramColors" Target="diagrams/colors2.xml"/><Relationship Id="rId21" Type="http://schemas.microsoft.com/office/2007/relationships/diagramDrawing" Target="diagrams/drawing2.xml"/><Relationship Id="rId22" Type="http://schemas.openxmlformats.org/officeDocument/2006/relationships/diagramData" Target="diagrams/data3.xml"/><Relationship Id="rId70" Type="http://schemas.openxmlformats.org/officeDocument/2006/relationships/diagramColors" Target="diagrams/colors10.xml"/><Relationship Id="rId71" Type="http://schemas.microsoft.com/office/2007/relationships/diagramDrawing" Target="diagrams/drawing10.xml"/><Relationship Id="rId72" Type="http://schemas.openxmlformats.org/officeDocument/2006/relationships/chart" Target="charts/chart10.xml"/><Relationship Id="rId73" Type="http://schemas.openxmlformats.org/officeDocument/2006/relationships/diagramData" Target="diagrams/data11.xml"/><Relationship Id="rId74" Type="http://schemas.openxmlformats.org/officeDocument/2006/relationships/diagramLayout" Target="diagrams/layout11.xml"/><Relationship Id="rId75" Type="http://schemas.openxmlformats.org/officeDocument/2006/relationships/diagramQuickStyle" Target="diagrams/quickStyle11.xml"/><Relationship Id="rId76" Type="http://schemas.openxmlformats.org/officeDocument/2006/relationships/diagramColors" Target="diagrams/colors11.xml"/><Relationship Id="rId77" Type="http://schemas.microsoft.com/office/2007/relationships/diagramDrawing" Target="diagrams/drawing11.xml"/><Relationship Id="rId78" Type="http://schemas.openxmlformats.org/officeDocument/2006/relationships/diagramData" Target="diagrams/data12.xml"/><Relationship Id="rId79" Type="http://schemas.openxmlformats.org/officeDocument/2006/relationships/diagramLayout" Target="diagrams/layout12.xml"/><Relationship Id="rId23" Type="http://schemas.openxmlformats.org/officeDocument/2006/relationships/diagramLayout" Target="diagrams/layout3.xml"/><Relationship Id="rId24" Type="http://schemas.openxmlformats.org/officeDocument/2006/relationships/diagramQuickStyle" Target="diagrams/quickStyle3.xml"/><Relationship Id="rId25" Type="http://schemas.openxmlformats.org/officeDocument/2006/relationships/diagramColors" Target="diagrams/colors3.xml"/><Relationship Id="rId26" Type="http://schemas.microsoft.com/office/2007/relationships/diagramDrawing" Target="diagrams/drawing3.xml"/><Relationship Id="rId27" Type="http://schemas.openxmlformats.org/officeDocument/2006/relationships/diagramData" Target="diagrams/data4.xml"/><Relationship Id="rId28" Type="http://schemas.openxmlformats.org/officeDocument/2006/relationships/diagramLayout" Target="diagrams/layout4.xml"/><Relationship Id="rId29" Type="http://schemas.openxmlformats.org/officeDocument/2006/relationships/diagramQuickStyle" Target="diagrams/quickStyle4.xml"/><Relationship Id="rId13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gif"/><Relationship Id="rId8" Type="http://schemas.openxmlformats.org/officeDocument/2006/relationships/image" Target="media/image2.wmf"/><Relationship Id="rId9" Type="http://schemas.openxmlformats.org/officeDocument/2006/relationships/footer" Target="footer1.xml"/><Relationship Id="rId50" Type="http://schemas.microsoft.com/office/2007/relationships/diagramDrawing" Target="diagrams/drawing7.xml"/><Relationship Id="rId51" Type="http://schemas.openxmlformats.org/officeDocument/2006/relationships/chart" Target="charts/chart5.xml"/><Relationship Id="rId52" Type="http://schemas.openxmlformats.org/officeDocument/2006/relationships/image" Target="media/image5.emf"/><Relationship Id="rId53" Type="http://schemas.openxmlformats.org/officeDocument/2006/relationships/diagramData" Target="diagrams/data8.xml"/><Relationship Id="rId54" Type="http://schemas.openxmlformats.org/officeDocument/2006/relationships/diagramLayout" Target="diagrams/layout8.xml"/><Relationship Id="rId55" Type="http://schemas.openxmlformats.org/officeDocument/2006/relationships/diagramQuickStyle" Target="diagrams/quickStyle8.xml"/><Relationship Id="rId56" Type="http://schemas.openxmlformats.org/officeDocument/2006/relationships/diagramColors" Target="diagrams/colors8.xml"/><Relationship Id="rId57" Type="http://schemas.microsoft.com/office/2007/relationships/diagramDrawing" Target="diagrams/drawing8.xml"/><Relationship Id="rId58" Type="http://schemas.openxmlformats.org/officeDocument/2006/relationships/chart" Target="charts/chart6.xml"/><Relationship Id="rId59" Type="http://schemas.openxmlformats.org/officeDocument/2006/relationships/chart" Target="charts/chart7.xml"/><Relationship Id="rId110" Type="http://schemas.openxmlformats.org/officeDocument/2006/relationships/diagramLayout" Target="diagrams/layout17.xml"/><Relationship Id="rId111" Type="http://schemas.openxmlformats.org/officeDocument/2006/relationships/diagramQuickStyle" Target="diagrams/quickStyle17.xml"/><Relationship Id="rId112" Type="http://schemas.openxmlformats.org/officeDocument/2006/relationships/diagramColors" Target="diagrams/colors17.xml"/><Relationship Id="rId113" Type="http://schemas.microsoft.com/office/2007/relationships/diagramDrawing" Target="diagrams/drawing17.xml"/><Relationship Id="rId114" Type="http://schemas.openxmlformats.org/officeDocument/2006/relationships/diagramData" Target="diagrams/data18.xml"/><Relationship Id="rId115" Type="http://schemas.openxmlformats.org/officeDocument/2006/relationships/diagramLayout" Target="diagrams/layout18.xml"/><Relationship Id="rId116" Type="http://schemas.openxmlformats.org/officeDocument/2006/relationships/diagramQuickStyle" Target="diagrams/quickStyle18.xml"/><Relationship Id="rId117" Type="http://schemas.openxmlformats.org/officeDocument/2006/relationships/diagramColors" Target="diagrams/colors18.xml"/><Relationship Id="rId118" Type="http://schemas.microsoft.com/office/2007/relationships/diagramDrawing" Target="diagrams/drawing18.xml"/><Relationship Id="rId119" Type="http://schemas.openxmlformats.org/officeDocument/2006/relationships/diagramData" Target="diagrams/data19.xml"/><Relationship Id="rId30" Type="http://schemas.openxmlformats.org/officeDocument/2006/relationships/diagramColors" Target="diagrams/colors4.xml"/><Relationship Id="rId31" Type="http://schemas.microsoft.com/office/2007/relationships/diagramDrawing" Target="diagrams/drawing4.xml"/><Relationship Id="rId32" Type="http://schemas.openxmlformats.org/officeDocument/2006/relationships/chart" Target="charts/chart1.xml"/><Relationship Id="rId33" Type="http://schemas.openxmlformats.org/officeDocument/2006/relationships/chart" Target="charts/chart2.xml"/><Relationship Id="rId34" Type="http://schemas.openxmlformats.org/officeDocument/2006/relationships/diagramData" Target="diagrams/data5.xml"/><Relationship Id="rId35" Type="http://schemas.openxmlformats.org/officeDocument/2006/relationships/diagramLayout" Target="diagrams/layout5.xml"/><Relationship Id="rId36" Type="http://schemas.openxmlformats.org/officeDocument/2006/relationships/diagramQuickStyle" Target="diagrams/quickStyle5.xml"/><Relationship Id="rId37" Type="http://schemas.openxmlformats.org/officeDocument/2006/relationships/diagramColors" Target="diagrams/colors5.xml"/><Relationship Id="rId38" Type="http://schemas.microsoft.com/office/2007/relationships/diagramDrawing" Target="diagrams/drawing5.xml"/><Relationship Id="rId39" Type="http://schemas.openxmlformats.org/officeDocument/2006/relationships/chart" Target="charts/chart3.xml"/><Relationship Id="rId80" Type="http://schemas.openxmlformats.org/officeDocument/2006/relationships/diagramQuickStyle" Target="diagrams/quickStyle12.xml"/><Relationship Id="rId81" Type="http://schemas.openxmlformats.org/officeDocument/2006/relationships/diagramColors" Target="diagrams/colors12.xml"/><Relationship Id="rId82" Type="http://schemas.microsoft.com/office/2007/relationships/diagramDrawing" Target="diagrams/drawing12.xml"/><Relationship Id="rId83" Type="http://schemas.openxmlformats.org/officeDocument/2006/relationships/chart" Target="charts/chart11.xml"/><Relationship Id="rId84" Type="http://schemas.openxmlformats.org/officeDocument/2006/relationships/chart" Target="charts/chart12.xml"/><Relationship Id="rId85" Type="http://schemas.openxmlformats.org/officeDocument/2006/relationships/chart" Target="charts/chart13.xml"/><Relationship Id="rId86" Type="http://schemas.openxmlformats.org/officeDocument/2006/relationships/chart" Target="charts/chart14.xml"/><Relationship Id="rId87" Type="http://schemas.openxmlformats.org/officeDocument/2006/relationships/diagramData" Target="diagrams/data13.xml"/><Relationship Id="rId88" Type="http://schemas.openxmlformats.org/officeDocument/2006/relationships/diagramLayout" Target="diagrams/layout13.xml"/><Relationship Id="rId89" Type="http://schemas.openxmlformats.org/officeDocument/2006/relationships/diagramQuickStyle" Target="diagrams/quickStyle13.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package" Target="../embeddings/package1.package"/></Relationships>
</file>

<file path=word/charts/_rels/chart10.xml.rels><?xml version="1.0" encoding="UTF-8" standalone="yes"?>
<Relationships xmlns="http://schemas.openxmlformats.org/package/2006/relationships"><Relationship Id="rId1" Type="http://schemas.openxmlformats.org/officeDocument/2006/relationships/themeOverride" Target="../theme/themeOverride10.xml"/><Relationship Id="rId2" Type="http://schemas.openxmlformats.org/officeDocument/2006/relationships/package" Target="../embeddings/package10.package"/></Relationships>
</file>

<file path=word/charts/_rels/chart11.xml.rels><?xml version="1.0" encoding="UTF-8" standalone="yes"?>
<Relationships xmlns="http://schemas.openxmlformats.org/package/2006/relationships"><Relationship Id="rId1" Type="http://schemas.openxmlformats.org/officeDocument/2006/relationships/themeOverride" Target="../theme/themeOverride11.xml"/><Relationship Id="rId2" Type="http://schemas.openxmlformats.org/officeDocument/2006/relationships/package" Target="../embeddings/package11.package"/></Relationships>
</file>

<file path=word/charts/_rels/chart12.xml.rels><?xml version="1.0" encoding="UTF-8" standalone="yes"?>
<Relationships xmlns="http://schemas.openxmlformats.org/package/2006/relationships"><Relationship Id="rId1" Type="http://schemas.openxmlformats.org/officeDocument/2006/relationships/themeOverride" Target="../theme/themeOverride12.xml"/><Relationship Id="rId2" Type="http://schemas.openxmlformats.org/officeDocument/2006/relationships/package" Target="../embeddings/package12.package"/></Relationships>
</file>

<file path=word/charts/_rels/chart13.xml.rels><?xml version="1.0" encoding="UTF-8" standalone="yes"?>
<Relationships xmlns="http://schemas.openxmlformats.org/package/2006/relationships"><Relationship Id="rId1" Type="http://schemas.openxmlformats.org/officeDocument/2006/relationships/themeOverride" Target="../theme/themeOverride13.xml"/><Relationship Id="rId2" Type="http://schemas.openxmlformats.org/officeDocument/2006/relationships/package" Target="../embeddings/package13.package"/></Relationships>
</file>

<file path=word/charts/_rels/chart14.xml.rels><?xml version="1.0" encoding="UTF-8" standalone="yes"?>
<Relationships xmlns="http://schemas.openxmlformats.org/package/2006/relationships"><Relationship Id="rId1" Type="http://schemas.openxmlformats.org/officeDocument/2006/relationships/themeOverride" Target="../theme/themeOverride14.xml"/><Relationship Id="rId2" Type="http://schemas.openxmlformats.org/officeDocument/2006/relationships/package" Target="../embeddings/package14.package"/></Relationships>
</file>

<file path=word/charts/_rels/chart15.xml.rels><?xml version="1.0" encoding="UTF-8" standalone="yes"?>
<Relationships xmlns="http://schemas.openxmlformats.org/package/2006/relationships"><Relationship Id="rId1" Type="http://schemas.openxmlformats.org/officeDocument/2006/relationships/themeOverride" Target="../theme/themeOverride15.xml"/><Relationship Id="rId2" Type="http://schemas.openxmlformats.org/officeDocument/2006/relationships/package" Target="../embeddings/package15.package"/></Relationships>
</file>

<file path=word/charts/_rels/chart16.xml.rels><?xml version="1.0" encoding="UTF-8" standalone="yes"?>
<Relationships xmlns="http://schemas.openxmlformats.org/package/2006/relationships"><Relationship Id="rId1" Type="http://schemas.openxmlformats.org/officeDocument/2006/relationships/themeOverride" Target="../theme/themeOverride16.xml"/><Relationship Id="rId2" Type="http://schemas.openxmlformats.org/officeDocument/2006/relationships/package" Target="../embeddings/package16.package"/></Relationships>
</file>

<file path=word/charts/_rels/chart2.xml.rels><?xml version="1.0" encoding="UTF-8" standalone="yes"?>
<Relationships xmlns="http://schemas.openxmlformats.org/package/2006/relationships"><Relationship Id="rId1" Type="http://schemas.openxmlformats.org/officeDocument/2006/relationships/themeOverride" Target="../theme/themeOverride2.xml"/><Relationship Id="rId2" Type="http://schemas.openxmlformats.org/officeDocument/2006/relationships/package" Target="../embeddings/package2.package"/></Relationships>
</file>

<file path=word/charts/_rels/chart3.xml.rels><?xml version="1.0" encoding="UTF-8" standalone="yes"?>
<Relationships xmlns="http://schemas.openxmlformats.org/package/2006/relationships"><Relationship Id="rId1" Type="http://schemas.openxmlformats.org/officeDocument/2006/relationships/themeOverride" Target="../theme/themeOverride3.xml"/><Relationship Id="rId2" Type="http://schemas.openxmlformats.org/officeDocument/2006/relationships/package" Target="../embeddings/package3.package"/></Relationships>
</file>

<file path=word/charts/_rels/chart4.xml.rels><?xml version="1.0" encoding="UTF-8" standalone="yes"?>
<Relationships xmlns="http://schemas.openxmlformats.org/package/2006/relationships"><Relationship Id="rId1" Type="http://schemas.openxmlformats.org/officeDocument/2006/relationships/themeOverride" Target="../theme/themeOverride4.xml"/><Relationship Id="rId2" Type="http://schemas.openxmlformats.org/officeDocument/2006/relationships/package" Target="../embeddings/package4.package"/></Relationships>
</file>

<file path=word/charts/_rels/chart5.xml.rels><?xml version="1.0" encoding="UTF-8" standalone="yes"?>
<Relationships xmlns="http://schemas.openxmlformats.org/package/2006/relationships"><Relationship Id="rId1" Type="http://schemas.openxmlformats.org/officeDocument/2006/relationships/themeOverride" Target="../theme/themeOverride5.xml"/><Relationship Id="rId2" Type="http://schemas.openxmlformats.org/officeDocument/2006/relationships/package" Target="../embeddings/package5.package"/></Relationships>
</file>

<file path=word/charts/_rels/chart6.xml.rels><?xml version="1.0" encoding="UTF-8" standalone="yes"?>
<Relationships xmlns="http://schemas.openxmlformats.org/package/2006/relationships"><Relationship Id="rId1" Type="http://schemas.openxmlformats.org/officeDocument/2006/relationships/themeOverride" Target="../theme/themeOverride6.xml"/><Relationship Id="rId2" Type="http://schemas.openxmlformats.org/officeDocument/2006/relationships/package" Target="../embeddings/package6.package"/></Relationships>
</file>

<file path=word/charts/_rels/chart7.xml.rels><?xml version="1.0" encoding="UTF-8" standalone="yes"?>
<Relationships xmlns="http://schemas.openxmlformats.org/package/2006/relationships"><Relationship Id="rId1" Type="http://schemas.openxmlformats.org/officeDocument/2006/relationships/themeOverride" Target="../theme/themeOverride7.xml"/><Relationship Id="rId2" Type="http://schemas.openxmlformats.org/officeDocument/2006/relationships/package" Target="../embeddings/package7.package"/></Relationships>
</file>

<file path=word/charts/_rels/chart8.xml.rels><?xml version="1.0" encoding="UTF-8" standalone="yes"?>
<Relationships xmlns="http://schemas.openxmlformats.org/package/2006/relationships"><Relationship Id="rId1" Type="http://schemas.openxmlformats.org/officeDocument/2006/relationships/themeOverride" Target="../theme/themeOverride8.xml"/><Relationship Id="rId2" Type="http://schemas.openxmlformats.org/officeDocument/2006/relationships/package" Target="../embeddings/package8.package"/></Relationships>
</file>

<file path=word/charts/_rels/chart9.xml.rels><?xml version="1.0" encoding="UTF-8" standalone="yes"?>
<Relationships xmlns="http://schemas.openxmlformats.org/package/2006/relationships"><Relationship Id="rId1" Type="http://schemas.openxmlformats.org/officeDocument/2006/relationships/themeOverride" Target="../theme/themeOverride9.xml"/><Relationship Id="rId2" Type="http://schemas.openxmlformats.org/officeDocument/2006/relationships/package" Target="../embeddings/package9.package"/></Relationships>
</file>

<file path=word/charts/chart1.xml><?xml version="1.0" encoding="utf-8"?>
<c:chartSpace xmlns:c="http://schemas.openxmlformats.org/drawingml/2006/chart" xmlns:a="http://schemas.openxmlformats.org/drawingml/2006/main" xmlns:r="http://schemas.openxmlformats.org/officeDocument/2006/relationships">
  <c:lang val="fr-FR"/>
  <c:style val="21"/>
  <c:chart>
    <c:title>
      <c:spPr>
        <a:noFill/>
        <a:ln w="25396">
          <a:noFill/>
        </a:ln>
      </c:spPr>
      <c:txPr>
        <a:bodyPr/>
        <a:lstStyle/>
        <a:p>
          <a:pPr>
            <a:defRPr lang="en-US"/>
          </a:pPr>
          <a:endParaRPr lang="fr-FR"/>
        </a:p>
      </c:txPr>
    </c:title>
    <c:plotArea>
      <c:layout>
        <c:manualLayout>
          <c:layoutTarget val="inner"/>
          <c:xMode val="edge"/>
          <c:yMode val="edge"/>
          <c:x val="0.121693121693122"/>
          <c:y val="0.176991150442478"/>
          <c:w val="0.843915343915344"/>
          <c:h val="0.699115044247787"/>
        </c:manualLayout>
      </c:layout>
      <c:barChart>
        <c:barDir val="col"/>
        <c:grouping val="clustered"/>
        <c:ser>
          <c:idx val="0"/>
          <c:order val="0"/>
          <c:tx>
            <c:strRef>
              <c:f>Feuil2!$G$8</c:f>
              <c:strCache>
                <c:ptCount val="1"/>
                <c:pt idx="0">
                  <c:v>Nbre heures insertion réalisées par an</c:v>
                </c:pt>
              </c:strCache>
            </c:strRef>
          </c:tx>
          <c:spPr>
            <a:gradFill rotWithShape="0">
              <a:gsLst>
                <a:gs pos="0">
                  <a:srgbClr val="769535"/>
                </a:gs>
                <a:gs pos="80000">
                  <a:srgbClr val="9BC348"/>
                </a:gs>
                <a:gs pos="100000">
                  <a:srgbClr val="9CC746"/>
                </a:gs>
              </a:gsLst>
              <a:lin ang="16200000"/>
            </a:gradFill>
            <a:ln w="25396">
              <a:noFill/>
            </a:ln>
            <a:effectLst>
              <a:outerShdw dist="35921" dir="2700000" algn="br">
                <a:srgbClr val="000000"/>
              </a:outerShdw>
            </a:effectLst>
          </c:spPr>
          <c:cat>
            <c:numRef>
              <c:f>Feuil2!$H$9:$H$13</c:f>
              <c:numCache>
                <c:formatCode>General</c:formatCode>
                <c:ptCount val="5"/>
                <c:pt idx="0">
                  <c:v>2008.0</c:v>
                </c:pt>
                <c:pt idx="1">
                  <c:v>2009.0</c:v>
                </c:pt>
                <c:pt idx="2">
                  <c:v>2010.0</c:v>
                </c:pt>
                <c:pt idx="3">
                  <c:v>2011.0</c:v>
                </c:pt>
                <c:pt idx="4">
                  <c:v>2012.0</c:v>
                </c:pt>
              </c:numCache>
            </c:numRef>
          </c:cat>
          <c:val>
            <c:numRef>
              <c:f>Feuil2!$G$9:$G$13</c:f>
              <c:numCache>
                <c:formatCode>General</c:formatCode>
                <c:ptCount val="5"/>
                <c:pt idx="0">
                  <c:v>6057.0</c:v>
                </c:pt>
                <c:pt idx="1">
                  <c:v>14500.0</c:v>
                </c:pt>
                <c:pt idx="2">
                  <c:v>35407.0</c:v>
                </c:pt>
                <c:pt idx="3">
                  <c:v>56734.0</c:v>
                </c:pt>
                <c:pt idx="4" formatCode="0.00">
                  <c:v>94098.0</c:v>
                </c:pt>
              </c:numCache>
            </c:numRef>
          </c:val>
        </c:ser>
        <c:axId val="879040792"/>
        <c:axId val="879044584"/>
      </c:barChart>
      <c:catAx>
        <c:axId val="879040792"/>
        <c:scaling>
          <c:orientation val="minMax"/>
        </c:scaling>
        <c:axPos val="b"/>
        <c:numFmt formatCode="General" sourceLinked="1"/>
        <c:tickLblPos val="nextTo"/>
        <c:spPr>
          <a:ln w="3175">
            <a:solidFill>
              <a:srgbClr val="808080"/>
            </a:solidFill>
            <a:prstDash val="solid"/>
          </a:ln>
        </c:spPr>
        <c:txPr>
          <a:bodyPr/>
          <a:lstStyle/>
          <a:p>
            <a:pPr>
              <a:defRPr lang="en-US"/>
            </a:pPr>
            <a:endParaRPr lang="fr-FR"/>
          </a:p>
        </c:txPr>
        <c:crossAx val="879044584"/>
        <c:crosses val="autoZero"/>
        <c:auto val="1"/>
        <c:lblAlgn val="ctr"/>
        <c:lblOffset val="100"/>
      </c:catAx>
      <c:valAx>
        <c:axId val="879044584"/>
        <c:scaling>
          <c:orientation val="minMax"/>
        </c:scaling>
        <c:axPos val="l"/>
        <c:majorGridlines>
          <c:spPr>
            <a:ln w="3175">
              <a:solidFill>
                <a:srgbClr val="808080"/>
              </a:solidFill>
              <a:prstDash val="solid"/>
            </a:ln>
          </c:spPr>
        </c:majorGridlines>
        <c:numFmt formatCode="General" sourceLinked="1"/>
        <c:tickLblPos val="nextTo"/>
        <c:spPr>
          <a:ln w="3175">
            <a:solidFill>
              <a:srgbClr val="808080"/>
            </a:solidFill>
            <a:prstDash val="solid"/>
          </a:ln>
        </c:spPr>
        <c:txPr>
          <a:bodyPr/>
          <a:lstStyle/>
          <a:p>
            <a:pPr>
              <a:defRPr lang="en-US"/>
            </a:pPr>
            <a:endParaRPr lang="fr-FR"/>
          </a:p>
        </c:txPr>
        <c:crossAx val="879040792"/>
        <c:crosses val="autoZero"/>
        <c:crossBetween val="between"/>
      </c:valAx>
      <c:spPr>
        <a:solidFill>
          <a:srgbClr val="FFFFFF"/>
        </a:solidFill>
        <a:ln w="25396">
          <a:noFill/>
        </a:ln>
      </c:spPr>
    </c:plotArea>
    <c:plotVisOnly val="1"/>
    <c:dispBlanksAs val="gap"/>
  </c:chart>
  <c:spPr>
    <a:solidFill>
      <a:srgbClr val="FFFFFF"/>
    </a:solidFill>
    <a:ln>
      <a:noFill/>
    </a:ln>
  </c:sp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lang val="fr-FR"/>
  <c:style val="2"/>
  <c:chart>
    <c:plotArea>
      <c:layout>
        <c:manualLayout>
          <c:layoutTarget val="inner"/>
          <c:xMode val="edge"/>
          <c:yMode val="edge"/>
          <c:x val="0.361111111111111"/>
          <c:y val="0.48605577689243"/>
          <c:w val="0.272727272727273"/>
          <c:h val="0.430278884462151"/>
        </c:manualLayout>
      </c:layout>
      <c:pieChart>
        <c:varyColors val="1"/>
        <c:ser>
          <c:idx val="0"/>
          <c:order val="0"/>
          <c:spPr>
            <a:solidFill>
              <a:srgbClr val="4F81BD"/>
            </a:solidFill>
            <a:ln w="25112">
              <a:noFill/>
            </a:ln>
          </c:spPr>
          <c:dPt>
            <c:idx val="1"/>
            <c:spPr>
              <a:solidFill>
                <a:srgbClr val="C0504D"/>
              </a:solidFill>
              <a:ln w="25112">
                <a:noFill/>
              </a:ln>
            </c:spPr>
          </c:dPt>
          <c:dPt>
            <c:idx val="2"/>
            <c:spPr>
              <a:solidFill>
                <a:srgbClr val="9BBB59"/>
              </a:solidFill>
              <a:ln w="25112">
                <a:noFill/>
              </a:ln>
            </c:spPr>
          </c:dPt>
          <c:dPt>
            <c:idx val="3"/>
            <c:spPr>
              <a:solidFill>
                <a:srgbClr val="8064A2"/>
              </a:solidFill>
              <a:ln w="25112">
                <a:noFill/>
              </a:ln>
            </c:spPr>
          </c:dPt>
          <c:dLbls>
            <c:spPr>
              <a:noFill/>
              <a:ln w="25112">
                <a:noFill/>
              </a:ln>
            </c:spPr>
            <c:txPr>
              <a:bodyPr/>
              <a:lstStyle/>
              <a:p>
                <a:pPr>
                  <a:defRPr lang="en-US"/>
                </a:pPr>
                <a:endParaRPr lang="fr-FR"/>
              </a:p>
            </c:txPr>
            <c:showPercent val="1"/>
            <c:showLeaderLines val="1"/>
          </c:dLbls>
          <c:cat>
            <c:strRef>
              <c:f>Feuille1!$E$34:$E$37</c:f>
              <c:strCache>
                <c:ptCount val="4"/>
                <c:pt idx="0">
                  <c:v>BTP</c:v>
                </c:pt>
                <c:pt idx="1">
                  <c:v>Services : entretien des locaux, administratif, déménagement, gardiennage,espaces verts</c:v>
                </c:pt>
                <c:pt idx="2">
                  <c:v>Cycles</c:v>
                </c:pt>
                <c:pt idx="3">
                  <c:v>Etudes Ingénierie</c:v>
                </c:pt>
              </c:strCache>
            </c:strRef>
          </c:cat>
          <c:val>
            <c:numRef>
              <c:f>Feuille1!$F$34:$F$37</c:f>
              <c:numCache>
                <c:formatCode>[$-101040C]General</c:formatCode>
                <c:ptCount val="4"/>
                <c:pt idx="0" formatCode="#,##0">
                  <c:v>54121.0</c:v>
                </c:pt>
                <c:pt idx="1">
                  <c:v>32500.0</c:v>
                </c:pt>
                <c:pt idx="2">
                  <c:v>5744.5</c:v>
                </c:pt>
                <c:pt idx="3" formatCode="General">
                  <c:v>506.0</c:v>
                </c:pt>
              </c:numCache>
            </c:numRef>
          </c:val>
        </c:ser>
        <c:dLbls>
          <c:showCatName val="1"/>
        </c:dLbls>
        <c:firstSliceAng val="0"/>
      </c:pieChart>
      <c:spPr>
        <a:noFill/>
        <a:ln w="25112">
          <a:noFill/>
        </a:ln>
      </c:spPr>
    </c:plotArea>
    <c:legend>
      <c:legendPos val="r"/>
      <c:layout>
        <c:manualLayout>
          <c:xMode val="edge"/>
          <c:yMode val="edge"/>
          <c:x val="0.166666666666667"/>
          <c:y val="0.0"/>
          <c:w val="0.664141414141414"/>
          <c:h val="0.426294820717131"/>
        </c:manualLayout>
      </c:layout>
      <c:spPr>
        <a:noFill/>
        <a:ln w="25112">
          <a:noFill/>
        </a:ln>
      </c:spPr>
      <c:txPr>
        <a:bodyPr/>
        <a:lstStyle/>
        <a:p>
          <a:pPr>
            <a:defRPr lang="en-US"/>
          </a:pPr>
          <a:endParaRPr lang="fr-FR"/>
        </a:p>
      </c:txPr>
    </c:legend>
    <c:plotVisOnly val="1"/>
    <c:dispBlanksAs val="zero"/>
  </c:chart>
  <c:spPr>
    <a:solidFill>
      <a:srgbClr val="FFFFFF"/>
    </a:solidFill>
    <a:ln>
      <a:noFill/>
    </a:ln>
  </c:sp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lang val="fr-FR"/>
  <c:style val="18"/>
  <c:chart>
    <c:title>
      <c:tx>
        <c:rich>
          <a:bodyPr/>
          <a:lstStyle/>
          <a:p>
            <a:pPr>
              <a:defRPr lang="en-US"/>
            </a:pPr>
            <a:r>
              <a:rPr lang="fr-FR" sz="1385"/>
              <a:t>Situation des bénéficiaires avant mise à l'emploi</a:t>
            </a:r>
          </a:p>
        </c:rich>
      </c:tx>
      <c:spPr>
        <a:noFill/>
        <a:ln w="25131">
          <a:noFill/>
        </a:ln>
      </c:spPr>
    </c:title>
    <c:plotArea>
      <c:layout>
        <c:manualLayout>
          <c:layoutTarget val="inner"/>
          <c:xMode val="edge"/>
          <c:yMode val="edge"/>
          <c:x val="0.226781857451404"/>
          <c:y val="0.170854271356784"/>
          <c:w val="0.544276457883369"/>
          <c:h val="0.633165829145729"/>
        </c:manualLayout>
      </c:layout>
      <c:pieChart>
        <c:varyColors val="1"/>
        <c:ser>
          <c:idx val="0"/>
          <c:order val="0"/>
          <c:tx>
            <c:strRef>
              <c:f>Feuille3!$B$10</c:f>
              <c:strCache>
                <c:ptCount val="1"/>
                <c:pt idx="0">
                  <c:v>Nb participants</c:v>
                </c:pt>
              </c:strCache>
            </c:strRef>
          </c:tx>
          <c:spPr>
            <a:gradFill rotWithShape="0">
              <a:gsLst>
                <a:gs pos="0">
                  <a:srgbClr val="2C5D98"/>
                </a:gs>
                <a:gs pos="80000">
                  <a:srgbClr val="3C7BC7"/>
                </a:gs>
                <a:gs pos="100000">
                  <a:srgbClr val="3A7CCB"/>
                </a:gs>
              </a:gsLst>
              <a:lin ang="16200000"/>
            </a:gradFill>
            <a:ln w="25131">
              <a:noFill/>
            </a:ln>
            <a:effectLst>
              <a:outerShdw dist="35921" dir="2700000" algn="br">
                <a:srgbClr val="000000"/>
              </a:outerShdw>
            </a:effectLst>
          </c:spPr>
          <c:dPt>
            <c:idx val="0"/>
            <c:spPr>
              <a:gradFill rotWithShape="0">
                <a:gsLst>
                  <a:gs pos="0">
                    <a:srgbClr val="265186"/>
                  </a:gs>
                  <a:gs pos="80000">
                    <a:srgbClr val="346CB0"/>
                  </a:gs>
                  <a:gs pos="100000">
                    <a:srgbClr val="326DB3"/>
                  </a:gs>
                </a:gsLst>
                <a:lin ang="16200000"/>
              </a:gradFill>
              <a:ln w="25131">
                <a:noFill/>
              </a:ln>
              <a:effectLst>
                <a:outerShdw dist="35921" dir="2700000" algn="br">
                  <a:srgbClr val="000000"/>
                </a:outerShdw>
              </a:effectLst>
            </c:spPr>
          </c:dPt>
          <c:dPt>
            <c:idx val="1"/>
            <c:spPr>
              <a:gradFill rotWithShape="0">
                <a:gsLst>
                  <a:gs pos="0">
                    <a:srgbClr val="882624"/>
                  </a:gs>
                  <a:gs pos="80000">
                    <a:srgbClr val="B33532"/>
                  </a:gs>
                  <a:gs pos="100000">
                    <a:srgbClr val="B73330"/>
                  </a:gs>
                </a:gsLst>
                <a:lin ang="16200000"/>
              </a:gradFill>
              <a:ln w="25131">
                <a:noFill/>
              </a:ln>
              <a:effectLst>
                <a:outerShdw dist="35921" dir="2700000" algn="br">
                  <a:srgbClr val="000000"/>
                </a:outerShdw>
              </a:effectLst>
            </c:spPr>
          </c:dPt>
          <c:dPt>
            <c:idx val="2"/>
            <c:spPr>
              <a:gradFill rotWithShape="0">
                <a:gsLst>
                  <a:gs pos="0">
                    <a:srgbClr val="67832D"/>
                  </a:gs>
                  <a:gs pos="80000">
                    <a:srgbClr val="89AD3E"/>
                  </a:gs>
                  <a:gs pos="100000">
                    <a:srgbClr val="8AB03D"/>
                  </a:gs>
                </a:gsLst>
                <a:lin ang="16200000"/>
              </a:gradFill>
              <a:ln w="25131">
                <a:noFill/>
              </a:ln>
              <a:effectLst>
                <a:outerShdw dist="35921" dir="2700000" algn="br">
                  <a:srgbClr val="000000"/>
                </a:outerShdw>
              </a:effectLst>
            </c:spPr>
          </c:dPt>
          <c:dPt>
            <c:idx val="3"/>
            <c:spPr>
              <a:gradFill rotWithShape="0">
                <a:gsLst>
                  <a:gs pos="0">
                    <a:srgbClr val="51396F"/>
                  </a:gs>
                  <a:gs pos="80000">
                    <a:srgbClr val="6C4D92"/>
                  </a:gs>
                  <a:gs pos="100000">
                    <a:srgbClr val="6D4C94"/>
                  </a:gs>
                </a:gsLst>
                <a:lin ang="16200000"/>
              </a:gradFill>
              <a:ln w="25131">
                <a:noFill/>
              </a:ln>
              <a:effectLst>
                <a:outerShdw dist="35921" dir="2700000" algn="br">
                  <a:srgbClr val="000000"/>
                </a:outerShdw>
              </a:effectLst>
            </c:spPr>
          </c:dPt>
          <c:dPt>
            <c:idx val="4"/>
            <c:spPr>
              <a:gradFill rotWithShape="0">
                <a:gsLst>
                  <a:gs pos="0">
                    <a:srgbClr val="22768D"/>
                  </a:gs>
                  <a:gs pos="80000">
                    <a:srgbClr val="2F9CB9"/>
                  </a:gs>
                  <a:gs pos="100000">
                    <a:srgbClr val="2D9EBD"/>
                  </a:gs>
                </a:gsLst>
                <a:lin ang="16200000"/>
              </a:gradFill>
              <a:ln w="25131">
                <a:noFill/>
              </a:ln>
              <a:effectLst>
                <a:outerShdw dist="35921" dir="2700000" algn="br">
                  <a:srgbClr val="000000"/>
                </a:outerShdw>
              </a:effectLst>
            </c:spPr>
          </c:dPt>
          <c:dPt>
            <c:idx val="5"/>
            <c:spPr>
              <a:gradFill rotWithShape="0">
                <a:gsLst>
                  <a:gs pos="0">
                    <a:srgbClr val="B45F19"/>
                  </a:gs>
                  <a:gs pos="80000">
                    <a:srgbClr val="EB7E24"/>
                  </a:gs>
                  <a:gs pos="100000">
                    <a:srgbClr val="F07E20"/>
                  </a:gs>
                </a:gsLst>
                <a:lin ang="16200000"/>
              </a:gradFill>
              <a:ln w="25131">
                <a:noFill/>
              </a:ln>
              <a:effectLst>
                <a:outerShdw dist="35921" dir="2700000" algn="br">
                  <a:srgbClr val="000000"/>
                </a:outerShdw>
              </a:effectLst>
            </c:spPr>
          </c:dPt>
          <c:dPt>
            <c:idx val="6"/>
            <c:spPr>
              <a:gradFill rotWithShape="0">
                <a:gsLst>
                  <a:gs pos="0">
                    <a:srgbClr val="657B9F"/>
                  </a:gs>
                  <a:gs pos="80000">
                    <a:srgbClr val="85A2D1"/>
                  </a:gs>
                  <a:gs pos="100000">
                    <a:srgbClr val="84A2D3"/>
                  </a:gs>
                </a:gsLst>
                <a:lin ang="16200000"/>
              </a:gradFill>
              <a:ln w="25131">
                <a:noFill/>
              </a:ln>
              <a:effectLst>
                <a:outerShdw dist="35921" dir="2700000" algn="br">
                  <a:srgbClr val="000000"/>
                </a:outerShdw>
              </a:effectLst>
            </c:spPr>
          </c:dPt>
          <c:dLbls>
            <c:dLbl>
              <c:idx val="0"/>
              <c:layout>
                <c:manualLayout>
                  <c:x val="-0.109574576559225"/>
                  <c:y val="0.030555600192833"/>
                </c:manualLayout>
              </c:layout>
              <c:spPr>
                <a:noFill/>
                <a:ln w="25131">
                  <a:noFill/>
                </a:ln>
              </c:spPr>
              <c:txPr>
                <a:bodyPr/>
                <a:lstStyle/>
                <a:p>
                  <a:pPr>
                    <a:defRPr lang="en-US"/>
                  </a:pPr>
                  <a:endParaRPr lang="fr-FR"/>
                </a:p>
              </c:txPr>
              <c:dLblPos val="bestFit"/>
              <c:showCatName val="1"/>
              <c:showPercent val="1"/>
            </c:dLbl>
            <c:dLbl>
              <c:idx val="4"/>
              <c:layout>
                <c:manualLayout>
                  <c:x val="-0.069284397301577"/>
                  <c:y val="0.0496817585301837"/>
                </c:manualLayout>
              </c:layout>
              <c:spPr>
                <a:noFill/>
                <a:ln w="25131">
                  <a:noFill/>
                </a:ln>
              </c:spPr>
              <c:txPr>
                <a:bodyPr/>
                <a:lstStyle/>
                <a:p>
                  <a:pPr>
                    <a:defRPr lang="en-US"/>
                  </a:pPr>
                  <a:endParaRPr lang="fr-FR"/>
                </a:p>
              </c:txPr>
              <c:dLblPos val="bestFit"/>
              <c:showCatName val="1"/>
              <c:showPercent val="1"/>
            </c:dLbl>
            <c:dLbl>
              <c:idx val="5"/>
              <c:layout>
                <c:manualLayout>
                  <c:x val="0.0468736036094662"/>
                  <c:y val="-0.0238719700478617"/>
                </c:manualLayout>
              </c:layout>
              <c:spPr>
                <a:noFill/>
                <a:ln w="25131">
                  <a:noFill/>
                </a:ln>
              </c:spPr>
              <c:txPr>
                <a:bodyPr/>
                <a:lstStyle/>
                <a:p>
                  <a:pPr>
                    <a:defRPr lang="en-US"/>
                  </a:pPr>
                  <a:endParaRPr lang="fr-FR"/>
                </a:p>
              </c:txPr>
              <c:dLblPos val="bestFit"/>
              <c:showCatName val="1"/>
              <c:showPercent val="1"/>
            </c:dLbl>
            <c:dLbl>
              <c:idx val="6"/>
              <c:layout>
                <c:manualLayout>
                  <c:x val="0.219761499148211"/>
                  <c:y val="0.0"/>
                </c:manualLayout>
              </c:layout>
              <c:spPr>
                <a:noFill/>
                <a:ln w="25131">
                  <a:noFill/>
                </a:ln>
              </c:spPr>
              <c:txPr>
                <a:bodyPr/>
                <a:lstStyle/>
                <a:p>
                  <a:pPr>
                    <a:defRPr lang="en-US"/>
                  </a:pPr>
                  <a:endParaRPr lang="fr-FR"/>
                </a:p>
              </c:txPr>
              <c:dLblPos val="bestFit"/>
              <c:showCatName val="1"/>
              <c:showPercent val="1"/>
            </c:dLbl>
            <c:spPr>
              <a:noFill/>
              <a:ln w="25131">
                <a:noFill/>
              </a:ln>
            </c:spPr>
            <c:txPr>
              <a:bodyPr/>
              <a:lstStyle/>
              <a:p>
                <a:pPr>
                  <a:defRPr lang="en-US"/>
                </a:pPr>
                <a:endParaRPr lang="fr-FR"/>
              </a:p>
            </c:txPr>
            <c:showCatName val="1"/>
            <c:showPercent val="1"/>
            <c:showLeaderLines val="1"/>
          </c:dLbls>
          <c:cat>
            <c:strRef>
              <c:f>Feuille3!$A$11:$A$17</c:f>
              <c:strCache>
                <c:ptCount val="7"/>
                <c:pt idx="0">
                  <c:v>DELD</c:v>
                </c:pt>
                <c:pt idx="1">
                  <c:v>TH</c:v>
                </c:pt>
                <c:pt idx="2">
                  <c:v>Jeune -26 ans</c:v>
                </c:pt>
                <c:pt idx="3">
                  <c:v>RSA</c:v>
                </c:pt>
                <c:pt idx="4">
                  <c:v>Bénéficiaires Minima Sociaux API/ASS</c:v>
                </c:pt>
                <c:pt idx="5">
                  <c:v>DE + de 50 ans</c:v>
                </c:pt>
                <c:pt idx="6">
                  <c:v>Qualification obsolète</c:v>
                </c:pt>
              </c:strCache>
            </c:strRef>
          </c:cat>
          <c:val>
            <c:numRef>
              <c:f>Feuille3!$B$11:$B$17</c:f>
              <c:numCache>
                <c:formatCode>[$-101040C]###,###,##0</c:formatCode>
                <c:ptCount val="7"/>
                <c:pt idx="0">
                  <c:v>166.0</c:v>
                </c:pt>
                <c:pt idx="1">
                  <c:v>10.0</c:v>
                </c:pt>
                <c:pt idx="2">
                  <c:v>115.0</c:v>
                </c:pt>
                <c:pt idx="3">
                  <c:v>145.0</c:v>
                </c:pt>
                <c:pt idx="4">
                  <c:v>10.0</c:v>
                </c:pt>
                <c:pt idx="5">
                  <c:v>11.0</c:v>
                </c:pt>
                <c:pt idx="6">
                  <c:v>13.0</c:v>
                </c:pt>
              </c:numCache>
            </c:numRef>
          </c:val>
        </c:ser>
        <c:firstSliceAng val="0"/>
      </c:pieChart>
      <c:spPr>
        <a:noFill/>
        <a:ln w="25131">
          <a:noFill/>
        </a:ln>
      </c:spPr>
    </c:plotArea>
    <c:legend>
      <c:legendPos val="r"/>
      <c:layout>
        <c:manualLayout>
          <c:xMode val="edge"/>
          <c:yMode val="edge"/>
          <c:x val="0.144708423326134"/>
          <c:y val="0.819095477386935"/>
          <c:w val="0.708423326133909"/>
          <c:h val="0.178391959798995"/>
        </c:manualLayout>
      </c:layout>
      <c:spPr>
        <a:noFill/>
        <a:ln w="25131">
          <a:noFill/>
        </a:ln>
      </c:spPr>
      <c:txPr>
        <a:bodyPr/>
        <a:lstStyle/>
        <a:p>
          <a:pPr>
            <a:defRPr lang="en-US"/>
          </a:pPr>
          <a:endParaRPr lang="fr-FR"/>
        </a:p>
      </c:txPr>
    </c:legend>
    <c:plotVisOnly val="1"/>
    <c:dispBlanksAs val="zero"/>
  </c:chart>
  <c:spPr>
    <a:solidFill>
      <a:srgbClr val="FFFFFF"/>
    </a:solidFill>
    <a:ln>
      <a:noFill/>
    </a:ln>
  </c:sp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lang val="fr-FR"/>
  <c:style val="2"/>
  <c:chart>
    <c:autoTitleDeleted val="1"/>
    <c:plotArea>
      <c:layout>
        <c:manualLayout>
          <c:layoutTarget val="inner"/>
          <c:xMode val="edge"/>
          <c:yMode val="edge"/>
          <c:x val="0.319587628865979"/>
          <c:y val="0.122994652406417"/>
          <c:w val="0.360824742268041"/>
          <c:h val="0.748663101604278"/>
        </c:manualLayout>
      </c:layout>
      <c:pieChart>
        <c:varyColors val="1"/>
        <c:ser>
          <c:idx val="0"/>
          <c:order val="0"/>
          <c:tx>
            <c:strRef>
              <c:f>Feuille9!$C$6</c:f>
              <c:strCache>
                <c:ptCount val="1"/>
                <c:pt idx="0">
                  <c:v>Nb participants</c:v>
                </c:pt>
              </c:strCache>
            </c:strRef>
          </c:tx>
          <c:spPr>
            <a:solidFill>
              <a:srgbClr val="4F81BD"/>
            </a:solidFill>
            <a:ln w="25399">
              <a:noFill/>
            </a:ln>
          </c:spPr>
          <c:dPt>
            <c:idx val="1"/>
            <c:spPr>
              <a:solidFill>
                <a:srgbClr val="C0504D"/>
              </a:solidFill>
              <a:ln w="25399">
                <a:noFill/>
              </a:ln>
            </c:spPr>
          </c:dPt>
          <c:dPt>
            <c:idx val="2"/>
            <c:spPr>
              <a:solidFill>
                <a:srgbClr val="9BBB59"/>
              </a:solidFill>
              <a:ln w="25399">
                <a:noFill/>
              </a:ln>
            </c:spPr>
          </c:dPt>
          <c:dPt>
            <c:idx val="3"/>
            <c:spPr>
              <a:solidFill>
                <a:srgbClr val="8064A2"/>
              </a:solidFill>
              <a:ln w="25399">
                <a:noFill/>
              </a:ln>
            </c:spPr>
          </c:dPt>
          <c:dLbls>
            <c:dLbl>
              <c:idx val="0"/>
              <c:layout>
                <c:manualLayout>
                  <c:x val="-0.0355137795275591"/>
                  <c:y val="0.0613425925925926"/>
                </c:manualLayout>
              </c:layout>
              <c:spPr>
                <a:noFill/>
                <a:ln w="25399">
                  <a:noFill/>
                </a:ln>
              </c:spPr>
              <c:txPr>
                <a:bodyPr/>
                <a:lstStyle/>
                <a:p>
                  <a:pPr>
                    <a:defRPr lang="en-US"/>
                  </a:pPr>
                  <a:endParaRPr lang="fr-FR"/>
                </a:p>
              </c:txPr>
              <c:dLblPos val="bestFit"/>
              <c:showCatName val="1"/>
              <c:showPercent val="1"/>
            </c:dLbl>
            <c:spPr>
              <a:noFill/>
              <a:ln w="25399">
                <a:noFill/>
              </a:ln>
            </c:spPr>
            <c:txPr>
              <a:bodyPr/>
              <a:lstStyle/>
              <a:p>
                <a:pPr>
                  <a:defRPr lang="en-US"/>
                </a:pPr>
                <a:endParaRPr lang="fr-FR"/>
              </a:p>
            </c:txPr>
            <c:showCatName val="1"/>
            <c:showPercent val="1"/>
            <c:showLeaderLines val="1"/>
          </c:dLbls>
          <c:cat>
            <c:strRef>
              <c:f>Feuille9!$B$7:$B$10</c:f>
              <c:strCache>
                <c:ptCount val="4"/>
                <c:pt idx="0">
                  <c:v>51 et plus</c:v>
                </c:pt>
                <c:pt idx="1">
                  <c:v>de 26 à 40</c:v>
                </c:pt>
                <c:pt idx="2">
                  <c:v>de 41 à 50</c:v>
                </c:pt>
                <c:pt idx="3">
                  <c:v>moins de 26</c:v>
                </c:pt>
              </c:strCache>
            </c:strRef>
          </c:cat>
          <c:val>
            <c:numRef>
              <c:f>Feuille9!$C$7:$C$10</c:f>
              <c:numCache>
                <c:formatCode>[$-101040C]###,###,##0</c:formatCode>
                <c:ptCount val="4"/>
                <c:pt idx="0">
                  <c:v>25.0</c:v>
                </c:pt>
                <c:pt idx="1">
                  <c:v>151.0</c:v>
                </c:pt>
                <c:pt idx="2">
                  <c:v>88.0</c:v>
                </c:pt>
                <c:pt idx="3">
                  <c:v>119.0</c:v>
                </c:pt>
              </c:numCache>
            </c:numRef>
          </c:val>
        </c:ser>
        <c:dLbls>
          <c:showCatName val="1"/>
          <c:showPercent val="1"/>
        </c:dLbls>
        <c:firstSliceAng val="0"/>
      </c:pieChart>
      <c:spPr>
        <a:noFill/>
        <a:ln w="25399">
          <a:noFill/>
        </a:ln>
      </c:spPr>
    </c:plotArea>
    <c:plotVisOnly val="1"/>
    <c:dispBlanksAs val="zero"/>
  </c:chart>
  <c:spPr>
    <a:solidFill>
      <a:srgbClr val="FFFFFF"/>
    </a:solidFill>
    <a:ln>
      <a:noFill/>
    </a:ln>
  </c:sp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lang val="fr-FR"/>
  <c:style val="2"/>
  <c:chart>
    <c:plotArea>
      <c:layout>
        <c:manualLayout>
          <c:layoutTarget val="inner"/>
          <c:xMode val="edge"/>
          <c:yMode val="edge"/>
          <c:x val="0.229681978798587"/>
          <c:y val="0.12"/>
          <c:w val="0.53356890459364"/>
          <c:h val="0.755"/>
        </c:manualLayout>
      </c:layout>
      <c:pieChart>
        <c:varyColors val="1"/>
        <c:ser>
          <c:idx val="0"/>
          <c:order val="0"/>
          <c:spPr>
            <a:solidFill>
              <a:srgbClr val="4F81BD"/>
            </a:solidFill>
            <a:ln w="25371">
              <a:noFill/>
            </a:ln>
          </c:spPr>
          <c:dPt>
            <c:idx val="1"/>
            <c:spPr>
              <a:solidFill>
                <a:srgbClr val="C0504D"/>
              </a:solidFill>
              <a:ln w="25371">
                <a:noFill/>
              </a:ln>
            </c:spPr>
          </c:dPt>
          <c:dPt>
            <c:idx val="2"/>
            <c:spPr>
              <a:solidFill>
                <a:srgbClr val="9BBB59"/>
              </a:solidFill>
              <a:ln w="25371">
                <a:noFill/>
              </a:ln>
            </c:spPr>
          </c:dPt>
          <c:dPt>
            <c:idx val="3"/>
            <c:spPr>
              <a:solidFill>
                <a:srgbClr val="8064A2"/>
              </a:solidFill>
              <a:ln w="25371">
                <a:noFill/>
              </a:ln>
            </c:spPr>
          </c:dPt>
          <c:dLbls>
            <c:dLbl>
              <c:idx val="0"/>
              <c:layout>
                <c:manualLayout>
                  <c:x val="0.0201317804024497"/>
                  <c:y val="-0.0154540088092391"/>
                </c:manualLayout>
              </c:layout>
              <c:spPr>
                <a:noFill/>
                <a:ln w="25371">
                  <a:noFill/>
                </a:ln>
              </c:spPr>
              <c:txPr>
                <a:bodyPr/>
                <a:lstStyle/>
                <a:p>
                  <a:pPr>
                    <a:defRPr lang="en-US"/>
                  </a:pPr>
                  <a:endParaRPr lang="fr-FR"/>
                </a:p>
              </c:txPr>
              <c:dLblPos val="bestFit"/>
              <c:showCatName val="1"/>
              <c:showPercent val="1"/>
            </c:dLbl>
            <c:spPr>
              <a:noFill/>
              <a:ln w="25371">
                <a:noFill/>
              </a:ln>
            </c:spPr>
            <c:txPr>
              <a:bodyPr/>
              <a:lstStyle/>
              <a:p>
                <a:pPr>
                  <a:defRPr lang="en-US"/>
                </a:pPr>
                <a:endParaRPr lang="fr-FR"/>
              </a:p>
            </c:txPr>
            <c:showCatName val="1"/>
            <c:showPercent val="1"/>
            <c:showLeaderLines val="1"/>
          </c:dLbls>
          <c:cat>
            <c:strRef>
              <c:f>Feuille4!$A$7:$A$10</c:f>
              <c:strCache>
                <c:ptCount val="4"/>
                <c:pt idx="0">
                  <c:v>I, II et III</c:v>
                </c:pt>
                <c:pt idx="1">
                  <c:v>IV et V bis</c:v>
                </c:pt>
                <c:pt idx="2">
                  <c:v>V</c:v>
                </c:pt>
                <c:pt idx="3">
                  <c:v>VI</c:v>
                </c:pt>
              </c:strCache>
            </c:strRef>
          </c:cat>
          <c:val>
            <c:numRef>
              <c:f>Feuille4!$B$7:$B$10</c:f>
              <c:numCache>
                <c:formatCode>[$-101040C]###,###,##0</c:formatCode>
                <c:ptCount val="4"/>
                <c:pt idx="0">
                  <c:v>12.0</c:v>
                </c:pt>
                <c:pt idx="1">
                  <c:v>135.0</c:v>
                </c:pt>
                <c:pt idx="2">
                  <c:v>171.0</c:v>
                </c:pt>
                <c:pt idx="3">
                  <c:v>65.0</c:v>
                </c:pt>
              </c:numCache>
            </c:numRef>
          </c:val>
        </c:ser>
        <c:dLbls>
          <c:showCatName val="1"/>
          <c:showPercent val="1"/>
        </c:dLbls>
        <c:firstSliceAng val="0"/>
      </c:pieChart>
      <c:spPr>
        <a:noFill/>
        <a:ln w="25371">
          <a:noFill/>
        </a:ln>
      </c:spPr>
    </c:plotArea>
    <c:plotVisOnly val="1"/>
    <c:dispBlanksAs val="zero"/>
  </c:chart>
  <c:spPr>
    <a:solidFill>
      <a:srgbClr val="FFFFFF"/>
    </a:solidFill>
    <a:ln>
      <a:noFill/>
    </a:ln>
  </c:sp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lang val="fr-FR"/>
  <c:style val="6"/>
  <c:chart>
    <c:plotArea>
      <c:layout>
        <c:manualLayout>
          <c:layoutTarget val="inner"/>
          <c:xMode val="edge"/>
          <c:yMode val="edge"/>
          <c:x val="0.0796019900497512"/>
          <c:y val="0.0526315789473684"/>
          <c:w val="0.890547263681592"/>
          <c:h val="0.425438596491228"/>
        </c:manualLayout>
      </c:layout>
      <c:barChart>
        <c:barDir val="col"/>
        <c:grouping val="clustered"/>
        <c:ser>
          <c:idx val="0"/>
          <c:order val="0"/>
          <c:spPr>
            <a:solidFill>
              <a:srgbClr val="8064A2"/>
            </a:solidFill>
            <a:ln w="24849">
              <a:noFill/>
            </a:ln>
          </c:spPr>
          <c:dLbls>
            <c:spPr>
              <a:noFill/>
              <a:ln w="24849">
                <a:noFill/>
              </a:ln>
            </c:spPr>
            <c:txPr>
              <a:bodyPr/>
              <a:lstStyle/>
              <a:p>
                <a:pPr>
                  <a:defRPr lang="en-US"/>
                </a:pPr>
                <a:endParaRPr lang="fr-FR"/>
              </a:p>
            </c:txPr>
            <c:showVal val="1"/>
          </c:dLbls>
          <c:cat>
            <c:strRef>
              <c:f>Feuille1!$H$6:$H$19</c:f>
              <c:strCache>
                <c:ptCount val="14"/>
                <c:pt idx="0">
                  <c:v>Pôle Emploi</c:v>
                </c:pt>
                <c:pt idx="1">
                  <c:v>PLIE de Bordeaux</c:v>
                </c:pt>
                <c:pt idx="2">
                  <c:v>Autres PLIE</c:v>
                </c:pt>
                <c:pt idx="3">
                  <c:v>Mission Locale de Bordeaux</c:v>
                </c:pt>
                <c:pt idx="4">
                  <c:v>Autres Mission Locale autres </c:v>
                </c:pt>
                <c:pt idx="5">
                  <c:v>CG 33- Assistantes sociales</c:v>
                </c:pt>
                <c:pt idx="6">
                  <c:v>BIC</c:v>
                </c:pt>
                <c:pt idx="7">
                  <c:v>ARE 33</c:v>
                </c:pt>
                <c:pt idx="8">
                  <c:v>A2I</c:v>
                </c:pt>
                <c:pt idx="9">
                  <c:v>Garage moderne</c:v>
                </c:pt>
                <c:pt idx="10">
                  <c:v>L2I Lien Intérim _x000d_Insertion (Lormont)</c:v>
                </c:pt>
                <c:pt idx="11">
                  <c:v>GEIQ FP</c:v>
                </c:pt>
                <c:pt idx="12">
                  <c:v>Autres ETTI</c:v>
                </c:pt>
                <c:pt idx="13">
                  <c:v>Autres (batiform, entreprise, ETT)</c:v>
                </c:pt>
              </c:strCache>
            </c:strRef>
          </c:cat>
          <c:val>
            <c:numRef>
              <c:f>Feuille1!$I$6:$I$19</c:f>
              <c:numCache>
                <c:formatCode>General</c:formatCode>
                <c:ptCount val="14"/>
                <c:pt idx="0">
                  <c:v>33.0</c:v>
                </c:pt>
                <c:pt idx="1">
                  <c:v>46.0</c:v>
                </c:pt>
                <c:pt idx="2">
                  <c:v>14.0</c:v>
                </c:pt>
                <c:pt idx="3">
                  <c:v>28.0</c:v>
                </c:pt>
                <c:pt idx="4">
                  <c:v>5.0</c:v>
                </c:pt>
                <c:pt idx="5">
                  <c:v>6.0</c:v>
                </c:pt>
                <c:pt idx="6">
                  <c:v>43.0</c:v>
                </c:pt>
                <c:pt idx="7">
                  <c:v>20.0</c:v>
                </c:pt>
                <c:pt idx="8">
                  <c:v>30.0</c:v>
                </c:pt>
                <c:pt idx="9">
                  <c:v>3.0</c:v>
                </c:pt>
                <c:pt idx="10">
                  <c:v>11.0</c:v>
                </c:pt>
                <c:pt idx="11">
                  <c:v>7.0</c:v>
                </c:pt>
                <c:pt idx="12">
                  <c:v>12.0</c:v>
                </c:pt>
                <c:pt idx="13">
                  <c:v>24.0</c:v>
                </c:pt>
              </c:numCache>
            </c:numRef>
          </c:val>
        </c:ser>
        <c:dLbls>
          <c:showVal val="1"/>
        </c:dLbls>
        <c:gapWidth val="75"/>
        <c:axId val="817273464"/>
        <c:axId val="817262808"/>
      </c:barChart>
      <c:catAx>
        <c:axId val="817273464"/>
        <c:scaling>
          <c:orientation val="minMax"/>
        </c:scaling>
        <c:axPos val="b"/>
        <c:numFmt formatCode="General" sourceLinked="1"/>
        <c:majorTickMark val="none"/>
        <c:tickLblPos val="nextTo"/>
        <c:spPr>
          <a:ln w="3106">
            <a:solidFill>
              <a:srgbClr val="808080"/>
            </a:solidFill>
            <a:prstDash val="solid"/>
          </a:ln>
        </c:spPr>
        <c:txPr>
          <a:bodyPr/>
          <a:lstStyle/>
          <a:p>
            <a:pPr>
              <a:defRPr lang="en-US"/>
            </a:pPr>
            <a:endParaRPr lang="fr-FR"/>
          </a:p>
        </c:txPr>
        <c:crossAx val="817262808"/>
        <c:crosses val="autoZero"/>
        <c:auto val="1"/>
        <c:lblAlgn val="ctr"/>
        <c:lblOffset val="100"/>
      </c:catAx>
      <c:valAx>
        <c:axId val="817262808"/>
        <c:scaling>
          <c:orientation val="minMax"/>
        </c:scaling>
        <c:axPos val="l"/>
        <c:numFmt formatCode="General" sourceLinked="1"/>
        <c:majorTickMark val="none"/>
        <c:tickLblPos val="nextTo"/>
        <c:spPr>
          <a:ln w="3106">
            <a:solidFill>
              <a:srgbClr val="808080"/>
            </a:solidFill>
            <a:prstDash val="solid"/>
          </a:ln>
        </c:spPr>
        <c:txPr>
          <a:bodyPr/>
          <a:lstStyle/>
          <a:p>
            <a:pPr>
              <a:defRPr lang="en-US"/>
            </a:pPr>
            <a:endParaRPr lang="fr-FR"/>
          </a:p>
        </c:txPr>
        <c:crossAx val="817273464"/>
        <c:crosses val="autoZero"/>
        <c:crossBetween val="between"/>
      </c:valAx>
      <c:spPr>
        <a:solidFill>
          <a:srgbClr val="FFFFFF"/>
        </a:solidFill>
        <a:ln w="24849">
          <a:noFill/>
        </a:ln>
      </c:spPr>
    </c:plotArea>
    <c:plotVisOnly val="1"/>
    <c:dispBlanksAs val="gap"/>
  </c:chart>
  <c:spPr>
    <a:solidFill>
      <a:srgbClr val="FFFFFF"/>
    </a:solidFill>
    <a:ln>
      <a:noFill/>
    </a:ln>
  </c:sp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lang val="fr-FR"/>
  <c:style val="22"/>
  <c:chart>
    <c:view3D>
      <c:depthPercent val="100"/>
      <c:perspective val="30"/>
    </c:view3D>
    <c:floor>
      <c:spPr>
        <a:noFill/>
        <a:ln w="3175">
          <a:solidFill>
            <a:srgbClr val="808080"/>
          </a:solidFill>
          <a:prstDash val="solid"/>
        </a:ln>
      </c:spPr>
    </c:floor>
    <c:sideWall>
      <c:spPr>
        <a:noFill/>
        <a:ln w="25400">
          <a:noFill/>
        </a:ln>
      </c:spPr>
    </c:sideWall>
    <c:backWall>
      <c:spPr>
        <a:noFill/>
        <a:ln w="25400">
          <a:noFill/>
        </a:ln>
      </c:spPr>
    </c:backWall>
    <c:plotArea>
      <c:layout>
        <c:manualLayout>
          <c:layoutTarget val="inner"/>
          <c:xMode val="edge"/>
          <c:yMode val="edge"/>
          <c:x val="0.0691144708423326"/>
          <c:y val="0.0368852459016393"/>
          <c:w val="0.889848812095032"/>
          <c:h val="0.598360655737705"/>
        </c:manualLayout>
      </c:layout>
      <c:bar3DChart>
        <c:barDir val="col"/>
        <c:grouping val="stacked"/>
        <c:ser>
          <c:idx val="0"/>
          <c:order val="0"/>
          <c:spPr>
            <a:solidFill>
              <a:srgbClr val="E46C0A"/>
            </a:solidFill>
            <a:ln w="25321">
              <a:noFill/>
            </a:ln>
            <a:effectLst>
              <a:outerShdw dist="35921" dir="2700000" algn="br">
                <a:srgbClr val="000000"/>
              </a:outerShdw>
            </a:effectLst>
          </c:spPr>
          <c:dPt>
            <c:idx val="1"/>
            <c:spPr>
              <a:solidFill>
                <a:srgbClr val="FCD5B5"/>
              </a:solidFill>
              <a:ln w="25321">
                <a:noFill/>
              </a:ln>
              <a:effectLst>
                <a:outerShdw dist="35921" dir="2700000" algn="br">
                  <a:srgbClr val="000000"/>
                </a:outerShdw>
              </a:effectLst>
            </c:spPr>
          </c:dPt>
          <c:dLbls>
            <c:dLbl>
              <c:idx val="0"/>
              <c:layout>
                <c:manualLayout>
                  <c:x val="-0.00298086062640078"/>
                  <c:y val="-0.136094907515259"/>
                </c:manualLayout>
              </c:layout>
              <c:tx>
                <c:rich>
                  <a:bodyPr/>
                  <a:lstStyle/>
                  <a:p>
                    <a:pPr>
                      <a:defRPr lang="en-US"/>
                    </a:pPr>
                    <a:r>
                      <a:rPr lang="fr-FR"/>
                      <a:t> 55,9%</a:t>
                    </a:r>
                  </a:p>
                </c:rich>
              </c:tx>
              <c:spPr>
                <a:noFill/>
                <a:ln w="25321">
                  <a:noFill/>
                </a:ln>
              </c:spPr>
            </c:dLbl>
            <c:dLbl>
              <c:idx val="1"/>
              <c:layout>
                <c:manualLayout>
                  <c:x val="0.0101994907119471"/>
                  <c:y val="-0.120385780179844"/>
                </c:manualLayout>
              </c:layout>
              <c:tx>
                <c:rich>
                  <a:bodyPr/>
                  <a:lstStyle/>
                  <a:p>
                    <a:pPr>
                      <a:defRPr lang="en-US" sz="991" b="0" i="0" u="none" strike="noStrike" baseline="0">
                        <a:solidFill>
                          <a:srgbClr val="000000"/>
                        </a:solidFill>
                        <a:latin typeface="Calibri"/>
                        <a:ea typeface="Calibri"/>
                        <a:cs typeface="Calibri"/>
                      </a:defRPr>
                    </a:pPr>
                    <a:endParaRPr lang="en-US" sz="1000" b="0" i="0" strike="noStrike">
                      <a:solidFill>
                        <a:srgbClr val="000000"/>
                      </a:solidFill>
                      <a:latin typeface="Calibri"/>
                      <a:ea typeface="Calibri"/>
                      <a:cs typeface="Calibri"/>
                    </a:endParaRPr>
                  </a:p>
                  <a:p>
                    <a:pPr>
                      <a:defRPr lang="en-US" sz="991" b="0" i="0" u="none" strike="noStrike" baseline="0">
                        <a:solidFill>
                          <a:srgbClr val="000000"/>
                        </a:solidFill>
                        <a:latin typeface="Calibri"/>
                        <a:ea typeface="Calibri"/>
                        <a:cs typeface="Calibri"/>
                      </a:defRPr>
                    </a:pPr>
                    <a:endParaRPr lang="en-US" sz="1000" b="0" i="0" strike="noStrike">
                      <a:solidFill>
                        <a:srgbClr val="000000"/>
                      </a:solidFill>
                      <a:latin typeface="Calibri"/>
                      <a:ea typeface="Calibri"/>
                      <a:cs typeface="Calibri"/>
                    </a:endParaRPr>
                  </a:p>
                  <a:p>
                    <a:pPr>
                      <a:defRPr lang="en-US" sz="991" b="0" i="0" u="none" strike="noStrike" baseline="0">
                        <a:solidFill>
                          <a:srgbClr val="000000"/>
                        </a:solidFill>
                        <a:latin typeface="Calibri"/>
                        <a:ea typeface="Calibri"/>
                        <a:cs typeface="Calibri"/>
                      </a:defRPr>
                    </a:pPr>
                    <a:r>
                      <a:rPr lang="en-US" sz="997" b="0" i="0" strike="noStrike">
                        <a:solidFill>
                          <a:srgbClr val="000000"/>
                        </a:solidFill>
                        <a:latin typeface="Calibri"/>
                        <a:ea typeface="Calibri"/>
                        <a:cs typeface="Calibri"/>
                      </a:rPr>
                      <a:t>44,1%</a:t>
                    </a:r>
                  </a:p>
                </c:rich>
              </c:tx>
              <c:spPr>
                <a:noFill/>
                <a:ln w="25321">
                  <a:noFill/>
                </a:ln>
              </c:spPr>
            </c:dLbl>
            <c:spPr>
              <a:noFill/>
              <a:ln w="25321">
                <a:noFill/>
              </a:ln>
            </c:spPr>
            <c:txPr>
              <a:bodyPr/>
              <a:lstStyle/>
              <a:p>
                <a:pPr>
                  <a:defRPr lang="en-US"/>
                </a:pPr>
                <a:endParaRPr lang="fr-FR"/>
              </a:p>
            </c:txPr>
            <c:showVal val="1"/>
            <c:showCatName val="1"/>
          </c:dLbls>
          <c:cat>
            <c:strRef>
              <c:f>Feuille8!$A$28:$A$29</c:f>
              <c:strCache>
                <c:ptCount val="2"/>
                <c:pt idx="0">
                  <c:v>Sorties vers un emploi durable /formation qualifiante et un emploi de transition</c:v>
                </c:pt>
                <c:pt idx="1">
                  <c:v>Sorties autres (abandon, réorientation prescripteurs)</c:v>
                </c:pt>
              </c:strCache>
            </c:strRef>
          </c:cat>
          <c:val>
            <c:numRef>
              <c:f>Feuille8!$B$28:$B$29</c:f>
              <c:numCache>
                <c:formatCode>[$-101040C]###,###,##0</c:formatCode>
                <c:ptCount val="2"/>
                <c:pt idx="0">
                  <c:v>71.0</c:v>
                </c:pt>
                <c:pt idx="1">
                  <c:v>56.0</c:v>
                </c:pt>
              </c:numCache>
            </c:numRef>
          </c:val>
        </c:ser>
        <c:shape val="box"/>
        <c:axId val="716610392"/>
        <c:axId val="716590616"/>
        <c:axId val="0"/>
      </c:bar3DChart>
      <c:catAx>
        <c:axId val="716610392"/>
        <c:scaling>
          <c:orientation val="minMax"/>
        </c:scaling>
        <c:axPos val="b"/>
        <c:numFmt formatCode="General" sourceLinked="1"/>
        <c:tickLblPos val="nextTo"/>
        <c:spPr>
          <a:ln w="3165">
            <a:solidFill>
              <a:srgbClr val="808080"/>
            </a:solidFill>
            <a:prstDash val="solid"/>
          </a:ln>
        </c:spPr>
        <c:txPr>
          <a:bodyPr/>
          <a:lstStyle/>
          <a:p>
            <a:pPr>
              <a:defRPr lang="en-US"/>
            </a:pPr>
            <a:endParaRPr lang="fr-FR"/>
          </a:p>
        </c:txPr>
        <c:crossAx val="716590616"/>
        <c:crosses val="autoZero"/>
        <c:auto val="1"/>
        <c:lblAlgn val="ctr"/>
        <c:lblOffset val="100"/>
      </c:catAx>
      <c:valAx>
        <c:axId val="716590616"/>
        <c:scaling>
          <c:orientation val="minMax"/>
        </c:scaling>
        <c:axPos val="l"/>
        <c:majorGridlines>
          <c:spPr>
            <a:ln w="3165">
              <a:solidFill>
                <a:srgbClr val="808080"/>
              </a:solidFill>
              <a:prstDash val="solid"/>
            </a:ln>
          </c:spPr>
        </c:majorGridlines>
        <c:numFmt formatCode="[$-101040C]###,###,##0" sourceLinked="1"/>
        <c:tickLblPos val="nextTo"/>
        <c:spPr>
          <a:ln w="3165">
            <a:solidFill>
              <a:srgbClr val="808080"/>
            </a:solidFill>
            <a:prstDash val="solid"/>
          </a:ln>
        </c:spPr>
        <c:txPr>
          <a:bodyPr/>
          <a:lstStyle/>
          <a:p>
            <a:pPr>
              <a:defRPr lang="en-US"/>
            </a:pPr>
            <a:endParaRPr lang="fr-FR"/>
          </a:p>
        </c:txPr>
        <c:crossAx val="716610392"/>
        <c:crosses val="autoZero"/>
        <c:crossBetween val="between"/>
      </c:valAx>
      <c:spPr>
        <a:noFill/>
        <a:ln w="25321">
          <a:noFill/>
        </a:ln>
      </c:spPr>
    </c:plotArea>
    <c:plotVisOnly val="1"/>
    <c:dispBlanksAs val="gap"/>
  </c:chart>
  <c:spPr>
    <a:solidFill>
      <a:srgbClr val="FFFFFF"/>
    </a:solidFill>
    <a:ln>
      <a:noFill/>
    </a:ln>
  </c:sp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fr-FR"/>
  <c:style val="40"/>
  <c:chart>
    <c:title>
      <c:tx>
        <c:rich>
          <a:bodyPr/>
          <a:lstStyle/>
          <a:p>
            <a:pPr>
              <a:defRPr lang="en-US" sz="1200"/>
            </a:pPr>
            <a:r>
              <a:rPr lang="fr-FR" sz="1200"/>
              <a:t>Situation des participants à la sortie du dispositif</a:t>
            </a:r>
          </a:p>
        </c:rich>
      </c:tx>
      <c:spPr>
        <a:noFill/>
        <a:ln w="25399">
          <a:noFill/>
        </a:ln>
      </c:spPr>
    </c:title>
    <c:view3D>
      <c:rotX val="75"/>
      <c:perspective val="30"/>
    </c:view3D>
    <c:plotArea>
      <c:layout>
        <c:manualLayout>
          <c:layoutTarget val="inner"/>
          <c:xMode val="edge"/>
          <c:yMode val="edge"/>
          <c:x val="0.227765726681128"/>
          <c:y val="0.153153153153153"/>
          <c:w val="0.535791757049892"/>
          <c:h val="0.744744744744745"/>
        </c:manualLayout>
      </c:layout>
      <c:pie3DChart>
        <c:varyColors val="1"/>
        <c:ser>
          <c:idx val="0"/>
          <c:order val="0"/>
          <c:tx>
            <c:strRef>
              <c:f>Feuille8!$C$6</c:f>
              <c:strCache>
                <c:ptCount val="1"/>
                <c:pt idx="0">
                  <c:v>Pourcentage</c:v>
                </c:pt>
              </c:strCache>
            </c:strRef>
          </c:tx>
          <c:spPr>
            <a:solidFill>
              <a:srgbClr val="F79646"/>
            </a:solidFill>
            <a:ln w="3175">
              <a:solidFill>
                <a:srgbClr val="90713A"/>
              </a:solidFill>
              <a:prstDash val="solid"/>
            </a:ln>
          </c:spPr>
          <c:dPt>
            <c:idx val="0"/>
            <c:spPr>
              <a:solidFill>
                <a:srgbClr val="AB662E"/>
              </a:solidFill>
              <a:ln w="3175">
                <a:solidFill>
                  <a:srgbClr val="90713A"/>
                </a:solidFill>
                <a:prstDash val="solid"/>
              </a:ln>
            </c:spPr>
          </c:dPt>
          <c:dPt>
            <c:idx val="1"/>
            <c:spPr>
              <a:solidFill>
                <a:srgbClr val="C27535"/>
              </a:solidFill>
              <a:ln w="3175">
                <a:solidFill>
                  <a:srgbClr val="90713A"/>
                </a:solidFill>
                <a:prstDash val="solid"/>
              </a:ln>
            </c:spPr>
          </c:dPt>
          <c:dPt>
            <c:idx val="2"/>
            <c:spPr>
              <a:solidFill>
                <a:srgbClr val="D6813B"/>
              </a:solidFill>
              <a:ln w="3175">
                <a:solidFill>
                  <a:srgbClr val="90713A"/>
                </a:solidFill>
                <a:prstDash val="solid"/>
              </a:ln>
            </c:spPr>
          </c:dPt>
          <c:dPt>
            <c:idx val="3"/>
            <c:spPr>
              <a:solidFill>
                <a:srgbClr val="FAC090"/>
              </a:solidFill>
              <a:ln w="3175">
                <a:solidFill>
                  <a:srgbClr val="90713A"/>
                </a:solidFill>
                <a:prstDash val="solid"/>
              </a:ln>
            </c:spPr>
          </c:dPt>
          <c:dPt>
            <c:idx val="4"/>
            <c:spPr>
              <a:solidFill>
                <a:srgbClr val="FDEADA"/>
              </a:solidFill>
              <a:ln w="3175">
                <a:solidFill>
                  <a:srgbClr val="90713A"/>
                </a:solidFill>
                <a:prstDash val="solid"/>
              </a:ln>
            </c:spPr>
          </c:dPt>
          <c:dPt>
            <c:idx val="5"/>
            <c:spPr>
              <a:solidFill>
                <a:srgbClr val="FAC090"/>
              </a:solidFill>
              <a:ln w="3175">
                <a:solidFill>
                  <a:srgbClr val="90713A"/>
                </a:solidFill>
                <a:prstDash val="solid"/>
              </a:ln>
            </c:spPr>
          </c:dPt>
          <c:dPt>
            <c:idx val="6"/>
            <c:spPr>
              <a:solidFill>
                <a:srgbClr val="F9BB9A"/>
              </a:solidFill>
              <a:ln w="3175">
                <a:solidFill>
                  <a:srgbClr val="90713A"/>
                </a:solidFill>
                <a:prstDash val="solid"/>
              </a:ln>
            </c:spPr>
          </c:dPt>
          <c:dPt>
            <c:idx val="7"/>
            <c:spPr>
              <a:solidFill>
                <a:srgbClr val="FACBB4"/>
              </a:solidFill>
              <a:ln w="3175">
                <a:solidFill>
                  <a:srgbClr val="90713A"/>
                </a:solidFill>
                <a:prstDash val="solid"/>
              </a:ln>
            </c:spPr>
          </c:dPt>
          <c:dPt>
            <c:idx val="8"/>
            <c:spPr>
              <a:solidFill>
                <a:srgbClr val="FCD9C9"/>
              </a:solidFill>
              <a:ln w="3175">
                <a:solidFill>
                  <a:srgbClr val="90713A"/>
                </a:solidFill>
                <a:prstDash val="solid"/>
              </a:ln>
            </c:spPr>
          </c:dPt>
          <c:dLbls>
            <c:dLbl>
              <c:idx val="2"/>
              <c:layout>
                <c:manualLayout>
                  <c:x val="-0.193630337942618"/>
                  <c:y val="-0.0815986186981826"/>
                </c:manualLayout>
              </c:layout>
              <c:spPr>
                <a:noFill/>
                <a:ln w="25399">
                  <a:noFill/>
                </a:ln>
              </c:spPr>
              <c:txPr>
                <a:bodyPr/>
                <a:lstStyle/>
                <a:p>
                  <a:pPr>
                    <a:defRPr lang="en-US"/>
                  </a:pPr>
                  <a:endParaRPr lang="fr-FR"/>
                </a:p>
              </c:txPr>
              <c:dLblPos val="bestFit"/>
              <c:showCatName val="1"/>
              <c:showPercent val="1"/>
            </c:dLbl>
            <c:dLbl>
              <c:idx val="4"/>
              <c:layout>
                <c:manualLayout>
                  <c:x val="-0.0812883659591651"/>
                  <c:y val="0.000315754481540469"/>
                </c:manualLayout>
              </c:layout>
              <c:spPr>
                <a:noFill/>
                <a:ln w="25399">
                  <a:noFill/>
                </a:ln>
              </c:spPr>
              <c:txPr>
                <a:bodyPr/>
                <a:lstStyle/>
                <a:p>
                  <a:pPr>
                    <a:defRPr lang="en-US"/>
                  </a:pPr>
                  <a:endParaRPr lang="fr-FR"/>
                </a:p>
              </c:txPr>
              <c:dLblPos val="bestFit"/>
              <c:showCatName val="1"/>
              <c:showPercent val="1"/>
            </c:dLbl>
            <c:dLbl>
              <c:idx val="5"/>
              <c:layout>
                <c:manualLayout>
                  <c:x val="0.125298486625342"/>
                  <c:y val="-0.0378057941245057"/>
                </c:manualLayout>
              </c:layout>
              <c:spPr>
                <a:noFill/>
                <a:ln w="25399">
                  <a:noFill/>
                </a:ln>
              </c:spPr>
              <c:txPr>
                <a:bodyPr/>
                <a:lstStyle/>
                <a:p>
                  <a:pPr>
                    <a:defRPr lang="en-US"/>
                  </a:pPr>
                  <a:endParaRPr lang="fr-FR"/>
                </a:p>
              </c:txPr>
              <c:dLblPos val="bestFit"/>
              <c:showCatName val="1"/>
              <c:showPercent val="1"/>
            </c:dLbl>
            <c:dLbl>
              <c:idx val="6"/>
              <c:layout>
                <c:manualLayout>
                  <c:x val="-0.0147242764417961"/>
                  <c:y val="0.00747540466127703"/>
                </c:manualLayout>
              </c:layout>
              <c:spPr>
                <a:noFill/>
                <a:ln w="25399">
                  <a:noFill/>
                </a:ln>
              </c:spPr>
              <c:txPr>
                <a:bodyPr/>
                <a:lstStyle/>
                <a:p>
                  <a:pPr>
                    <a:defRPr lang="en-US"/>
                  </a:pPr>
                  <a:endParaRPr lang="fr-FR"/>
                </a:p>
              </c:txPr>
              <c:dLblPos val="bestFit"/>
              <c:showCatName val="1"/>
              <c:showPercent val="1"/>
            </c:dLbl>
            <c:dLbl>
              <c:idx val="8"/>
              <c:layout>
                <c:manualLayout>
                  <c:x val="-0.0441670854972916"/>
                  <c:y val="-0.0360493520987042"/>
                </c:manualLayout>
              </c:layout>
              <c:spPr>
                <a:noFill/>
                <a:ln w="25399">
                  <a:noFill/>
                </a:ln>
              </c:spPr>
              <c:txPr>
                <a:bodyPr/>
                <a:lstStyle/>
                <a:p>
                  <a:pPr>
                    <a:defRPr lang="en-US"/>
                  </a:pPr>
                  <a:endParaRPr lang="fr-FR"/>
                </a:p>
              </c:txPr>
              <c:dLblPos val="bestFit"/>
              <c:showCatName val="1"/>
              <c:showPercent val="1"/>
            </c:dLbl>
            <c:spPr>
              <a:noFill/>
              <a:ln w="25399">
                <a:noFill/>
              </a:ln>
            </c:spPr>
            <c:txPr>
              <a:bodyPr/>
              <a:lstStyle/>
              <a:p>
                <a:pPr>
                  <a:defRPr lang="en-US"/>
                </a:pPr>
                <a:endParaRPr lang="fr-FR"/>
              </a:p>
            </c:txPr>
            <c:showCatName val="1"/>
            <c:showPercent val="1"/>
            <c:showLeaderLines val="1"/>
          </c:dLbls>
          <c:cat>
            <c:strRef>
              <c:f>Feuille8!$A$7:$A$15</c:f>
              <c:strCache>
                <c:ptCount val="9"/>
                <c:pt idx="0">
                  <c:v>Abandon, déménagement, maladie, sans suite</c:v>
                </c:pt>
                <c:pt idx="1">
                  <c:v>Réorientation professionnelle</c:v>
                </c:pt>
                <c:pt idx="2">
                  <c:v>Réorientation vers le prescripteur</c:v>
                </c:pt>
                <c:pt idx="3">
                  <c:v>CDD &gt; 6 mois</c:v>
                </c:pt>
                <c:pt idx="4">
                  <c:v>CDD &lt; 6 mois</c:v>
                </c:pt>
                <c:pt idx="5">
                  <c:v>CDI</c:v>
                </c:pt>
                <c:pt idx="6">
                  <c:v>Formation qualifiante</c:v>
                </c:pt>
                <c:pt idx="7">
                  <c:v>Intérim</c:v>
                </c:pt>
                <c:pt idx="8">
                  <c:v>Intérim &gt; 6 mois</c:v>
                </c:pt>
              </c:strCache>
            </c:strRef>
          </c:cat>
          <c:val>
            <c:numRef>
              <c:f>Feuille8!$C$7:$C$15</c:f>
              <c:numCache>
                <c:formatCode>[$-101040C]###,###,##0</c:formatCode>
                <c:ptCount val="9"/>
                <c:pt idx="0">
                  <c:v>19.0</c:v>
                </c:pt>
                <c:pt idx="1">
                  <c:v>5.0</c:v>
                </c:pt>
                <c:pt idx="2">
                  <c:v>32.0</c:v>
                </c:pt>
                <c:pt idx="3">
                  <c:v>7.0</c:v>
                </c:pt>
                <c:pt idx="4">
                  <c:v>1.0</c:v>
                </c:pt>
                <c:pt idx="5">
                  <c:v>49.0</c:v>
                </c:pt>
                <c:pt idx="6">
                  <c:v>4.0</c:v>
                </c:pt>
                <c:pt idx="7">
                  <c:v>9.0</c:v>
                </c:pt>
                <c:pt idx="8">
                  <c:v>1.0</c:v>
                </c:pt>
              </c:numCache>
            </c:numRef>
          </c:val>
        </c:ser>
      </c:pie3DChart>
      <c:spPr>
        <a:noFill/>
        <a:ln w="25399">
          <a:noFill/>
        </a:ln>
      </c:spPr>
    </c:plotArea>
    <c:plotVisOnly val="1"/>
    <c:dispBlanksAs val="zero"/>
  </c:chart>
  <c:spPr>
    <a:solidFill>
      <a:srgbClr val="FFFFFF"/>
    </a:solidFill>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lang val="fr-FR"/>
  <c:style val="13"/>
  <c:chart>
    <c:title>
      <c:tx>
        <c:rich>
          <a:bodyPr/>
          <a:lstStyle/>
          <a:p>
            <a:pPr>
              <a:defRPr lang="en-US" sz="1800" b="1" i="0" u="none" strike="noStrike" baseline="0">
                <a:solidFill>
                  <a:srgbClr val="000000"/>
                </a:solidFill>
                <a:latin typeface="Calibri"/>
                <a:ea typeface="Calibri"/>
                <a:cs typeface="Calibri"/>
              </a:defRPr>
            </a:pPr>
            <a:r>
              <a:rPr lang="fr-FR"/>
              <a:t>Nbre d'heures d'insertion cumulé</a:t>
            </a:r>
          </a:p>
        </c:rich>
      </c:tx>
      <c:spPr>
        <a:noFill/>
        <a:ln w="25404">
          <a:noFill/>
        </a:ln>
      </c:spPr>
    </c:title>
    <c:plotArea>
      <c:layout>
        <c:manualLayout>
          <c:layoutTarget val="inner"/>
          <c:xMode val="edge"/>
          <c:yMode val="edge"/>
          <c:x val="0.101511879049676"/>
          <c:y val="0.101648351648352"/>
          <c:w val="0.876889848812095"/>
          <c:h val="0.70054945054945"/>
        </c:manualLayout>
      </c:layout>
      <c:lineChart>
        <c:grouping val="stacked"/>
        <c:ser>
          <c:idx val="0"/>
          <c:order val="0"/>
          <c:tx>
            <c:strRef>
              <c:f>Feuil2!$A$13</c:f>
              <c:strCache>
                <c:ptCount val="1"/>
                <c:pt idx="0">
                  <c:v>Nbre heures insertion réalisées par an</c:v>
                </c:pt>
              </c:strCache>
            </c:strRef>
          </c:tx>
          <c:spPr>
            <a:ln w="38107">
              <a:solidFill>
                <a:srgbClr val="90713A"/>
              </a:solidFill>
              <a:prstDash val="solid"/>
            </a:ln>
          </c:spPr>
          <c:marker>
            <c:symbol val="none"/>
          </c:marker>
          <c:dLbls>
            <c:dLbl>
              <c:idx val="4"/>
              <c:tx>
                <c:rich>
                  <a:bodyPr/>
                  <a:lstStyle/>
                  <a:p>
                    <a:r>
                      <a:rPr lang="en-US"/>
                      <a:t>94</a:t>
                    </a:r>
                    <a:r>
                      <a:rPr lang="en-US" baseline="0"/>
                      <a:t> 098</a:t>
                    </a:r>
                    <a:endParaRPr lang="en-US"/>
                  </a:p>
                </c:rich>
              </c:tx>
            </c:dLbl>
            <c:spPr>
              <a:solidFill>
                <a:srgbClr val="77933C"/>
              </a:solidFill>
              <a:ln w="25404">
                <a:noFill/>
              </a:ln>
            </c:spPr>
            <c:txPr>
              <a:bodyPr/>
              <a:lstStyle/>
              <a:p>
                <a:pPr>
                  <a:defRPr lang="en-US" sz="1000" b="0" i="0" u="none" strike="noStrike" baseline="0">
                    <a:solidFill>
                      <a:srgbClr val="000000"/>
                    </a:solidFill>
                    <a:latin typeface="Calibri"/>
                    <a:ea typeface="Calibri"/>
                    <a:cs typeface="Calibri"/>
                  </a:defRPr>
                </a:pPr>
                <a:endParaRPr lang="fr-FR"/>
              </a:p>
            </c:txPr>
            <c:showVal val="1"/>
          </c:dLbls>
          <c:cat>
            <c:numRef>
              <c:f>Feuil2!$C$14:$C$18</c:f>
              <c:numCache>
                <c:formatCode>General</c:formatCode>
                <c:ptCount val="5"/>
                <c:pt idx="0">
                  <c:v>2008.0</c:v>
                </c:pt>
                <c:pt idx="1">
                  <c:v>2009.0</c:v>
                </c:pt>
                <c:pt idx="2">
                  <c:v>2010.0</c:v>
                </c:pt>
                <c:pt idx="3">
                  <c:v>2011.0</c:v>
                </c:pt>
                <c:pt idx="4">
                  <c:v>2012.0</c:v>
                </c:pt>
              </c:numCache>
            </c:numRef>
          </c:cat>
          <c:val>
            <c:numRef>
              <c:f>Feuil2!$A$14:$A$18</c:f>
              <c:numCache>
                <c:formatCode>#,##0</c:formatCode>
                <c:ptCount val="5"/>
                <c:pt idx="0">
                  <c:v>6057.0</c:v>
                </c:pt>
                <c:pt idx="1">
                  <c:v>14500.0</c:v>
                </c:pt>
                <c:pt idx="2">
                  <c:v>35407.0</c:v>
                </c:pt>
                <c:pt idx="3">
                  <c:v>56734.0</c:v>
                </c:pt>
                <c:pt idx="4">
                  <c:v>93323.56</c:v>
                </c:pt>
              </c:numCache>
            </c:numRef>
          </c:val>
        </c:ser>
        <c:ser>
          <c:idx val="1"/>
          <c:order val="1"/>
          <c:tx>
            <c:strRef>
              <c:f>Feuil2!$B$13</c:f>
              <c:strCache>
                <c:ptCount val="1"/>
                <c:pt idx="0">
                  <c:v>Nre d'heures insertion  cumulé</c:v>
                </c:pt>
              </c:strCache>
            </c:strRef>
          </c:tx>
          <c:spPr>
            <a:ln w="38107">
              <a:solidFill>
                <a:srgbClr val="FFCC99"/>
              </a:solidFill>
              <a:prstDash val="solid"/>
            </a:ln>
          </c:spPr>
          <c:marker>
            <c:symbol val="none"/>
          </c:marker>
          <c:dLbls>
            <c:dLbl>
              <c:idx val="0"/>
              <c:delete val="1"/>
            </c:dLbl>
            <c:dLbl>
              <c:idx val="4"/>
              <c:tx>
                <c:rich>
                  <a:bodyPr/>
                  <a:lstStyle/>
                  <a:p>
                    <a:r>
                      <a:rPr lang="en-US"/>
                      <a:t>206 796</a:t>
                    </a:r>
                  </a:p>
                </c:rich>
              </c:tx>
            </c:dLbl>
            <c:spPr>
              <a:solidFill>
                <a:srgbClr val="EBF1DE"/>
              </a:solidFill>
              <a:ln w="25404">
                <a:noFill/>
              </a:ln>
            </c:spPr>
            <c:txPr>
              <a:bodyPr/>
              <a:lstStyle/>
              <a:p>
                <a:pPr>
                  <a:defRPr lang="en-US" sz="1000" b="0" i="0" u="none" strike="noStrike" baseline="0">
                    <a:solidFill>
                      <a:srgbClr val="000000"/>
                    </a:solidFill>
                    <a:latin typeface="Calibri"/>
                    <a:ea typeface="Calibri"/>
                    <a:cs typeface="Calibri"/>
                  </a:defRPr>
                </a:pPr>
                <a:endParaRPr lang="fr-FR"/>
              </a:p>
            </c:txPr>
            <c:showVal val="1"/>
          </c:dLbls>
          <c:cat>
            <c:numRef>
              <c:f>Feuil2!$C$14:$C$18</c:f>
              <c:numCache>
                <c:formatCode>General</c:formatCode>
                <c:ptCount val="5"/>
                <c:pt idx="0">
                  <c:v>2008.0</c:v>
                </c:pt>
                <c:pt idx="1">
                  <c:v>2009.0</c:v>
                </c:pt>
                <c:pt idx="2">
                  <c:v>2010.0</c:v>
                </c:pt>
                <c:pt idx="3">
                  <c:v>2011.0</c:v>
                </c:pt>
                <c:pt idx="4">
                  <c:v>2012.0</c:v>
                </c:pt>
              </c:numCache>
            </c:numRef>
          </c:cat>
          <c:val>
            <c:numRef>
              <c:f>Feuil2!$B$14:$B$18</c:f>
              <c:numCache>
                <c:formatCode>#,##0</c:formatCode>
                <c:ptCount val="5"/>
                <c:pt idx="0">
                  <c:v>6057.0</c:v>
                </c:pt>
                <c:pt idx="1">
                  <c:v>20557.0</c:v>
                </c:pt>
                <c:pt idx="2">
                  <c:v>55964.0</c:v>
                </c:pt>
                <c:pt idx="3">
                  <c:v>112698.0</c:v>
                </c:pt>
                <c:pt idx="4">
                  <c:v>206021.56</c:v>
                </c:pt>
              </c:numCache>
            </c:numRef>
          </c:val>
        </c:ser>
        <c:marker val="1"/>
        <c:axId val="878971432"/>
        <c:axId val="878975208"/>
      </c:lineChart>
      <c:catAx>
        <c:axId val="878971432"/>
        <c:scaling>
          <c:orientation val="minMax"/>
        </c:scaling>
        <c:axPos val="b"/>
        <c:numFmt formatCode="General" sourceLinked="1"/>
        <c:majorTickMark val="none"/>
        <c:tickLblPos val="nextTo"/>
        <c:spPr>
          <a:ln w="3176">
            <a:solidFill>
              <a:srgbClr val="808080"/>
            </a:solidFill>
            <a:prstDash val="solid"/>
          </a:ln>
        </c:spPr>
        <c:txPr>
          <a:bodyPr rot="0" vert="horz"/>
          <a:lstStyle/>
          <a:p>
            <a:pPr>
              <a:defRPr lang="en-US" sz="1000" b="0" i="0" u="none" strike="noStrike" baseline="0">
                <a:solidFill>
                  <a:srgbClr val="000000"/>
                </a:solidFill>
                <a:latin typeface="Calibri"/>
                <a:ea typeface="Calibri"/>
                <a:cs typeface="Calibri"/>
              </a:defRPr>
            </a:pPr>
            <a:endParaRPr lang="fr-FR"/>
          </a:p>
        </c:txPr>
        <c:crossAx val="878975208"/>
        <c:crosses val="autoZero"/>
        <c:auto val="1"/>
        <c:lblAlgn val="ctr"/>
        <c:lblOffset val="100"/>
      </c:catAx>
      <c:valAx>
        <c:axId val="878975208"/>
        <c:scaling>
          <c:orientation val="minMax"/>
          <c:max val="300000.0"/>
        </c:scaling>
        <c:delete val="1"/>
        <c:axPos val="l"/>
        <c:numFmt formatCode="#,##0" sourceLinked="1"/>
        <c:tickLblPos val="nextTo"/>
        <c:crossAx val="878971432"/>
        <c:crosses val="autoZero"/>
        <c:crossBetween val="between"/>
        <c:majorUnit val="50000.0"/>
      </c:valAx>
      <c:spPr>
        <a:solidFill>
          <a:srgbClr val="FFFFFF"/>
        </a:solidFill>
        <a:ln w="25404">
          <a:noFill/>
        </a:ln>
      </c:spPr>
    </c:plotArea>
    <c:legend>
      <c:legendPos val="r"/>
      <c:layout>
        <c:manualLayout>
          <c:xMode val="edge"/>
          <c:yMode val="edge"/>
          <c:x val="0.0151187904967603"/>
          <c:y val="0.92032967032967"/>
          <c:w val="0.76889848812095"/>
          <c:h val="0.043956043956044"/>
        </c:manualLayout>
      </c:layout>
      <c:spPr>
        <a:noFill/>
        <a:ln w="25404">
          <a:noFill/>
        </a:ln>
      </c:spPr>
      <c:txPr>
        <a:bodyPr/>
        <a:lstStyle/>
        <a:p>
          <a:pPr>
            <a:defRPr lang="en-US" sz="920" b="0" i="0" u="none" strike="noStrike" baseline="0">
              <a:solidFill>
                <a:srgbClr val="000000"/>
              </a:solidFill>
              <a:latin typeface="Calibri"/>
              <a:ea typeface="Calibri"/>
              <a:cs typeface="Calibri"/>
            </a:defRPr>
          </a:pPr>
          <a:endParaRPr lang="fr-FR"/>
        </a:p>
      </c:txPr>
    </c:legend>
    <c:plotVisOnly val="1"/>
    <c:dispBlanksAs val="zero"/>
  </c:chart>
  <c:spPr>
    <a:solidFill>
      <a:srgbClr val="FFFFFF"/>
    </a:solidFill>
    <a:ln>
      <a:noFill/>
    </a:ln>
  </c:spPr>
  <c:txPr>
    <a:bodyPr/>
    <a:lstStyle/>
    <a:p>
      <a:pPr>
        <a:defRPr sz="1000" b="0" i="0" u="none" strike="noStrike" baseline="0">
          <a:solidFill>
            <a:srgbClr val="000000"/>
          </a:solidFill>
          <a:latin typeface="Calibri"/>
          <a:ea typeface="Calibri"/>
          <a:cs typeface="Calibri"/>
        </a:defRPr>
      </a:pPr>
      <a:endParaRPr lang="fr-FR"/>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lang val="fr-FR"/>
  <c:style val="29"/>
  <c:chart>
    <c:title>
      <c:tx>
        <c:rich>
          <a:bodyPr/>
          <a:lstStyle/>
          <a:p>
            <a:pPr>
              <a:defRPr lang="en-US"/>
            </a:pPr>
            <a:r>
              <a:rPr lang="fr-FR"/>
              <a:t>Répartition des heures par Maîtres d'Ouvrage</a:t>
            </a:r>
          </a:p>
        </c:rich>
      </c:tx>
      <c:layout/>
      <c:spPr>
        <a:noFill/>
        <a:ln w="25423">
          <a:noFill/>
        </a:ln>
      </c:spPr>
    </c:title>
    <c:view3D>
      <c:depthPercent val="130"/>
      <c:rAngAx val="1"/>
    </c:view3D>
    <c:floor>
      <c:spPr>
        <a:noFill/>
        <a:ln w="3175">
          <a:solidFill>
            <a:srgbClr val="808080"/>
          </a:solidFill>
          <a:prstDash val="solid"/>
        </a:ln>
      </c:spPr>
    </c:floor>
    <c:sideWall>
      <c:spPr>
        <a:noFill/>
        <a:ln w="25400">
          <a:noFill/>
        </a:ln>
      </c:spPr>
    </c:sideWall>
    <c:backWall>
      <c:spPr>
        <a:noFill/>
        <a:ln w="25400">
          <a:noFill/>
        </a:ln>
      </c:spPr>
    </c:backWall>
    <c:plotArea>
      <c:layout>
        <c:manualLayout>
          <c:layoutTarget val="inner"/>
          <c:xMode val="edge"/>
          <c:yMode val="edge"/>
          <c:x val="0.287619047619048"/>
          <c:y val="0.118556701030928"/>
          <c:w val="0.605714285714286"/>
          <c:h val="0.685567010309278"/>
        </c:manualLayout>
      </c:layout>
      <c:bar3DChart>
        <c:barDir val="bar"/>
        <c:grouping val="stacked"/>
        <c:ser>
          <c:idx val="0"/>
          <c:order val="0"/>
          <c:tx>
            <c:strRef>
              <c:f>Feuille1!$B$10</c:f>
              <c:strCache>
                <c:ptCount val="1"/>
                <c:pt idx="0">
                  <c:v>Nb heures réalisées</c:v>
                </c:pt>
              </c:strCache>
            </c:strRef>
          </c:tx>
          <c:spPr>
            <a:solidFill>
              <a:srgbClr val="9BBB59"/>
            </a:solidFill>
            <a:ln w="25423">
              <a:noFill/>
            </a:ln>
            <a:effectLst>
              <a:outerShdw dist="35921" dir="2700000" algn="br">
                <a:srgbClr val="000000"/>
              </a:outerShdw>
            </a:effectLst>
          </c:spPr>
          <c:cat>
            <c:strRef>
              <c:f>Feuille1!$A$11:$A$20</c:f>
              <c:strCache>
                <c:ptCount val="10"/>
                <c:pt idx="0">
                  <c:v>IN'CITE/PNRQAD</c:v>
                </c:pt>
                <c:pt idx="1">
                  <c:v>UNIVERSITE DE BORDEAUX</c:v>
                </c:pt>
                <c:pt idx="2">
                  <c:v>MINDEF/Etat</c:v>
                </c:pt>
                <c:pt idx="3">
                  <c:v>SNCF</c:v>
                </c:pt>
                <c:pt idx="4">
                  <c:v>GROUPE EVOLUTION</c:v>
                </c:pt>
                <c:pt idx="5">
                  <c:v>COMMUNAUTE URBAINE DE BORDEAUX</c:v>
                </c:pt>
                <c:pt idx="6">
                  <c:v>CONSEIL REGIONAL D'AQUITAINE</c:v>
                </c:pt>
                <c:pt idx="7">
                  <c:v>DOMOFRANCE</c:v>
                </c:pt>
                <c:pt idx="8">
                  <c:v>AQUITANIS</c:v>
                </c:pt>
                <c:pt idx="9">
                  <c:v>MAIRIE DE BORDEAUX</c:v>
                </c:pt>
              </c:strCache>
            </c:strRef>
          </c:cat>
          <c:val>
            <c:numRef>
              <c:f>Feuille1!$B$11:$B$20</c:f>
              <c:numCache>
                <c:formatCode>[$-101040C]###,###,##0.00</c:formatCode>
                <c:ptCount val="10"/>
                <c:pt idx="0">
                  <c:v>590.0</c:v>
                </c:pt>
                <c:pt idx="1">
                  <c:v>405.0</c:v>
                </c:pt>
                <c:pt idx="2">
                  <c:v>1331.0</c:v>
                </c:pt>
                <c:pt idx="3">
                  <c:v>2546.0</c:v>
                </c:pt>
                <c:pt idx="4">
                  <c:v>3162.17</c:v>
                </c:pt>
                <c:pt idx="5">
                  <c:v>4194.2</c:v>
                </c:pt>
                <c:pt idx="6">
                  <c:v>5798.0</c:v>
                </c:pt>
                <c:pt idx="7">
                  <c:v>8420.07</c:v>
                </c:pt>
                <c:pt idx="8">
                  <c:v>13989.02</c:v>
                </c:pt>
                <c:pt idx="9">
                  <c:v>53662.2</c:v>
                </c:pt>
              </c:numCache>
            </c:numRef>
          </c:val>
        </c:ser>
        <c:gapWidth val="153"/>
        <c:shape val="box"/>
        <c:axId val="876997096"/>
        <c:axId val="876988696"/>
        <c:axId val="0"/>
      </c:bar3DChart>
      <c:catAx>
        <c:axId val="876997096"/>
        <c:scaling>
          <c:orientation val="minMax"/>
        </c:scaling>
        <c:axPos val="l"/>
        <c:numFmt formatCode="General" sourceLinked="1"/>
        <c:tickLblPos val="nextTo"/>
        <c:spPr>
          <a:ln w="3178">
            <a:solidFill>
              <a:srgbClr val="808080"/>
            </a:solidFill>
            <a:prstDash val="solid"/>
          </a:ln>
        </c:spPr>
        <c:txPr>
          <a:bodyPr/>
          <a:lstStyle/>
          <a:p>
            <a:pPr>
              <a:defRPr lang="en-US"/>
            </a:pPr>
            <a:endParaRPr lang="fr-FR"/>
          </a:p>
        </c:txPr>
        <c:crossAx val="876988696"/>
        <c:crosses val="autoZero"/>
        <c:auto val="1"/>
        <c:lblAlgn val="ctr"/>
        <c:lblOffset val="200"/>
        <c:tickMarkSkip val="2"/>
      </c:catAx>
      <c:valAx>
        <c:axId val="876988696"/>
        <c:scaling>
          <c:orientation val="minMax"/>
          <c:max val="55000.0"/>
          <c:min val="0.0"/>
        </c:scaling>
        <c:axPos val="b"/>
        <c:majorGridlines>
          <c:spPr>
            <a:ln w="3178">
              <a:solidFill>
                <a:srgbClr val="808080"/>
              </a:solidFill>
              <a:prstDash val="solid"/>
            </a:ln>
          </c:spPr>
        </c:majorGridlines>
        <c:numFmt formatCode="[$-101040C]###,###,##0.00" sourceLinked="1"/>
        <c:tickLblPos val="nextTo"/>
        <c:spPr>
          <a:ln w="3178">
            <a:solidFill>
              <a:srgbClr val="808080"/>
            </a:solidFill>
            <a:prstDash val="solid"/>
          </a:ln>
        </c:spPr>
        <c:txPr>
          <a:bodyPr/>
          <a:lstStyle/>
          <a:p>
            <a:pPr>
              <a:defRPr lang="en-US"/>
            </a:pPr>
            <a:endParaRPr lang="fr-FR"/>
          </a:p>
        </c:txPr>
        <c:crossAx val="876997096"/>
        <c:crosses val="autoZero"/>
        <c:crossBetween val="between"/>
        <c:majorUnit val="10000.0"/>
      </c:valAx>
      <c:spPr>
        <a:noFill/>
        <a:ln w="25423">
          <a:noFill/>
        </a:ln>
      </c:spPr>
    </c:plotArea>
    <c:legend>
      <c:legendPos val="r"/>
      <c:layout>
        <c:manualLayout>
          <c:xMode val="edge"/>
          <c:yMode val="edge"/>
          <c:x val="0.478095238095238"/>
          <c:y val="0.907216494845361"/>
          <c:w val="0.236190476190476"/>
          <c:h val="0.0721649484536082"/>
        </c:manualLayout>
      </c:layout>
      <c:spPr>
        <a:noFill/>
        <a:ln w="25423">
          <a:noFill/>
        </a:ln>
      </c:spPr>
      <c:txPr>
        <a:bodyPr/>
        <a:lstStyle/>
        <a:p>
          <a:pPr>
            <a:defRPr lang="en-US"/>
          </a:pPr>
          <a:endParaRPr lang="fr-FR"/>
        </a:p>
      </c:txPr>
    </c:legend>
    <c:plotVisOnly val="1"/>
    <c:dispBlanksAs val="gap"/>
  </c:chart>
  <c:spPr>
    <a:solidFill>
      <a:srgbClr val="FFFFFF"/>
    </a:solidFill>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lang val="fr-FR"/>
  <c:style val="21"/>
  <c:chart>
    <c:title>
      <c:tx>
        <c:rich>
          <a:bodyPr/>
          <a:lstStyle/>
          <a:p>
            <a:pPr>
              <a:defRPr lang="en-US"/>
            </a:pPr>
            <a:r>
              <a:rPr lang="fr-FR"/>
              <a:t>Part Ville de Bordeaux</a:t>
            </a:r>
          </a:p>
        </c:rich>
      </c:tx>
      <c:layout/>
      <c:spPr>
        <a:noFill/>
        <a:ln w="25366">
          <a:noFill/>
        </a:ln>
      </c:spPr>
    </c:title>
    <c:plotArea>
      <c:layout>
        <c:manualLayout>
          <c:layoutTarget val="inner"/>
          <c:xMode val="edge"/>
          <c:yMode val="edge"/>
          <c:x val="0.029810298102981"/>
          <c:y val="0.328358208955224"/>
          <c:w val="0.934959349593496"/>
          <c:h val="0.532338308457711"/>
        </c:manualLayout>
      </c:layout>
      <c:barChart>
        <c:barDir val="col"/>
        <c:grouping val="clustered"/>
        <c:ser>
          <c:idx val="0"/>
          <c:order val="0"/>
          <c:tx>
            <c:strRef>
              <c:f>Feuil2!$H$43</c:f>
              <c:strCache>
                <c:ptCount val="1"/>
                <c:pt idx="0">
                  <c:v>Heures réalisées tous donneurs d'ordre</c:v>
                </c:pt>
              </c:strCache>
            </c:strRef>
          </c:tx>
          <c:spPr>
            <a:gradFill rotWithShape="0">
              <a:gsLst>
                <a:gs pos="0">
                  <a:srgbClr val="67832D"/>
                </a:gs>
                <a:gs pos="80000">
                  <a:srgbClr val="89AD3E"/>
                </a:gs>
                <a:gs pos="100000">
                  <a:srgbClr val="8AB03D"/>
                </a:gs>
              </a:gsLst>
              <a:lin ang="16200000"/>
            </a:gradFill>
            <a:ln w="25366">
              <a:noFill/>
            </a:ln>
            <a:effectLst>
              <a:outerShdw dist="35921" dir="2700000" algn="br">
                <a:srgbClr val="000000"/>
              </a:outerShdw>
            </a:effectLst>
          </c:spPr>
          <c:dLbls>
            <c:spPr>
              <a:noFill/>
              <a:ln w="25366">
                <a:noFill/>
              </a:ln>
            </c:spPr>
            <c:txPr>
              <a:bodyPr/>
              <a:lstStyle/>
              <a:p>
                <a:pPr>
                  <a:defRPr lang="en-US"/>
                </a:pPr>
                <a:endParaRPr lang="fr-FR"/>
              </a:p>
            </c:txPr>
            <c:showVal val="1"/>
          </c:dLbls>
          <c:cat>
            <c:numRef>
              <c:f>Feuil2!$I$42:$M$42</c:f>
              <c:numCache>
                <c:formatCode>General</c:formatCode>
                <c:ptCount val="5"/>
                <c:pt idx="0">
                  <c:v>2008.0</c:v>
                </c:pt>
                <c:pt idx="1">
                  <c:v>2009.0</c:v>
                </c:pt>
                <c:pt idx="2">
                  <c:v>2010.0</c:v>
                </c:pt>
                <c:pt idx="3">
                  <c:v>2011.0</c:v>
                </c:pt>
                <c:pt idx="4">
                  <c:v>2012.0</c:v>
                </c:pt>
              </c:numCache>
            </c:numRef>
          </c:cat>
          <c:val>
            <c:numRef>
              <c:f>Feuil2!$I$43:$M$43</c:f>
              <c:numCache>
                <c:formatCode>#,##0</c:formatCode>
                <c:ptCount val="5"/>
                <c:pt idx="0">
                  <c:v>6057.0</c:v>
                </c:pt>
                <c:pt idx="1">
                  <c:v>14500.0</c:v>
                </c:pt>
                <c:pt idx="2">
                  <c:v>35407.0</c:v>
                </c:pt>
                <c:pt idx="3">
                  <c:v>56734.0</c:v>
                </c:pt>
                <c:pt idx="4">
                  <c:v>94098.0</c:v>
                </c:pt>
              </c:numCache>
            </c:numRef>
          </c:val>
        </c:ser>
        <c:ser>
          <c:idx val="1"/>
          <c:order val="1"/>
          <c:tx>
            <c:strRef>
              <c:f>Feuil2!$H$44</c:f>
              <c:strCache>
                <c:ptCount val="1"/>
                <c:pt idx="0">
                  <c:v>Heures réalisées Ville de Bordeaux</c:v>
                </c:pt>
              </c:strCache>
            </c:strRef>
          </c:tx>
          <c:spPr>
            <a:gradFill rotWithShape="0">
              <a:gsLst>
                <a:gs pos="0">
                  <a:srgbClr val="899E68"/>
                </a:gs>
                <a:gs pos="80000">
                  <a:srgbClr val="B5CF8A"/>
                </a:gs>
                <a:gs pos="100000">
                  <a:srgbClr val="B6D189"/>
                </a:gs>
              </a:gsLst>
              <a:lin ang="16200000"/>
            </a:gradFill>
            <a:ln w="25366">
              <a:noFill/>
            </a:ln>
            <a:effectLst>
              <a:outerShdw dist="35921" dir="2700000" algn="br">
                <a:srgbClr val="000000"/>
              </a:outerShdw>
            </a:effectLst>
          </c:spPr>
          <c:dLbls>
            <c:numFmt formatCode="#,##0.00" sourceLinked="0"/>
            <c:spPr>
              <a:noFill/>
              <a:ln w="25366">
                <a:noFill/>
              </a:ln>
            </c:spPr>
            <c:txPr>
              <a:bodyPr/>
              <a:lstStyle/>
              <a:p>
                <a:pPr>
                  <a:defRPr lang="en-US"/>
                </a:pPr>
                <a:endParaRPr lang="fr-FR"/>
              </a:p>
            </c:txPr>
            <c:showVal val="1"/>
          </c:dLbls>
          <c:cat>
            <c:numRef>
              <c:f>Feuil2!$I$42:$M$42</c:f>
              <c:numCache>
                <c:formatCode>General</c:formatCode>
                <c:ptCount val="5"/>
                <c:pt idx="0">
                  <c:v>2008.0</c:v>
                </c:pt>
                <c:pt idx="1">
                  <c:v>2009.0</c:v>
                </c:pt>
                <c:pt idx="2">
                  <c:v>2010.0</c:v>
                </c:pt>
                <c:pt idx="3">
                  <c:v>2011.0</c:v>
                </c:pt>
                <c:pt idx="4">
                  <c:v>2012.0</c:v>
                </c:pt>
              </c:numCache>
            </c:numRef>
          </c:cat>
          <c:val>
            <c:numRef>
              <c:f>Feuil2!$I$44:$M$44</c:f>
              <c:numCache>
                <c:formatCode>#,##0.00</c:formatCode>
                <c:ptCount val="5"/>
                <c:pt idx="0">
                  <c:v>1022.5</c:v>
                </c:pt>
                <c:pt idx="1">
                  <c:v>8337.5</c:v>
                </c:pt>
                <c:pt idx="2" formatCode="#,##0">
                  <c:v>16763.0</c:v>
                </c:pt>
                <c:pt idx="3" formatCode="#,##0">
                  <c:v>26019.0</c:v>
                </c:pt>
                <c:pt idx="4" formatCode="#,##0">
                  <c:v>53662.0</c:v>
                </c:pt>
              </c:numCache>
            </c:numRef>
          </c:val>
        </c:ser>
        <c:gapWidth val="95"/>
        <c:axId val="716995000"/>
        <c:axId val="716983640"/>
      </c:barChart>
      <c:catAx>
        <c:axId val="716995000"/>
        <c:scaling>
          <c:orientation val="minMax"/>
        </c:scaling>
        <c:axPos val="b"/>
        <c:numFmt formatCode="General" sourceLinked="1"/>
        <c:majorTickMark val="none"/>
        <c:tickLblPos val="nextTo"/>
        <c:spPr>
          <a:ln w="3171">
            <a:solidFill>
              <a:srgbClr val="808080"/>
            </a:solidFill>
            <a:prstDash val="solid"/>
          </a:ln>
        </c:spPr>
        <c:txPr>
          <a:bodyPr/>
          <a:lstStyle/>
          <a:p>
            <a:pPr>
              <a:defRPr lang="en-US"/>
            </a:pPr>
            <a:endParaRPr lang="fr-FR"/>
          </a:p>
        </c:txPr>
        <c:crossAx val="716983640"/>
        <c:crosses val="autoZero"/>
        <c:auto val="1"/>
        <c:lblAlgn val="ctr"/>
        <c:lblOffset val="100"/>
      </c:catAx>
      <c:valAx>
        <c:axId val="716983640"/>
        <c:scaling>
          <c:orientation val="minMax"/>
        </c:scaling>
        <c:delete val="1"/>
        <c:axPos val="l"/>
        <c:numFmt formatCode="#,##0" sourceLinked="1"/>
        <c:tickLblPos val="nextTo"/>
        <c:crossAx val="716995000"/>
        <c:crosses val="autoZero"/>
        <c:crossBetween val="between"/>
      </c:valAx>
      <c:spPr>
        <a:solidFill>
          <a:srgbClr val="FFFFFF"/>
        </a:solidFill>
        <a:ln w="25366">
          <a:noFill/>
        </a:ln>
      </c:spPr>
    </c:plotArea>
    <c:legend>
      <c:legendPos val="r"/>
      <c:layout>
        <c:manualLayout>
          <c:xMode val="edge"/>
          <c:yMode val="edge"/>
          <c:x val="0.268292682926829"/>
          <c:y val="0.129353233830846"/>
          <c:w val="0.46070460704607"/>
          <c:h val="0.174129353233831"/>
        </c:manualLayout>
      </c:layout>
      <c:spPr>
        <a:noFill/>
        <a:ln w="25366">
          <a:noFill/>
        </a:ln>
      </c:spPr>
      <c:txPr>
        <a:bodyPr/>
        <a:lstStyle/>
        <a:p>
          <a:pPr>
            <a:defRPr lang="en-US"/>
          </a:pPr>
          <a:endParaRPr lang="fr-FR"/>
        </a:p>
      </c:txPr>
    </c:legend>
    <c:plotVisOnly val="1"/>
    <c:dispBlanksAs val="gap"/>
  </c:chart>
  <c:spPr>
    <a:solidFill>
      <a:srgbClr val="FFFFFF"/>
    </a:solidFill>
    <a:ln>
      <a:noFill/>
    </a:ln>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lang val="fr-FR"/>
  <c:style val="29"/>
  <c:chart>
    <c:view3D>
      <c:rotX val="30"/>
      <c:perspective val="30"/>
    </c:view3D>
    <c:plotArea>
      <c:layout>
        <c:manualLayout>
          <c:layoutTarget val="inner"/>
          <c:xMode val="edge"/>
          <c:yMode val="edge"/>
          <c:x val="0.11264367816092"/>
          <c:y val="0.131736526946108"/>
          <c:w val="0.429885057471264"/>
          <c:h val="0.700598802395209"/>
        </c:manualLayout>
      </c:layout>
      <c:pie3DChart>
        <c:varyColors val="1"/>
        <c:ser>
          <c:idx val="0"/>
          <c:order val="0"/>
          <c:spPr>
            <a:solidFill>
              <a:srgbClr val="9BBB59"/>
            </a:solidFill>
            <a:ln w="25338">
              <a:noFill/>
            </a:ln>
            <a:effectLst>
              <a:outerShdw dist="35921" dir="2700000" algn="br">
                <a:srgbClr val="000000"/>
              </a:outerShdw>
            </a:effectLst>
          </c:spPr>
          <c:explosion val="25"/>
          <c:dPt>
            <c:idx val="0"/>
            <c:spPr>
              <a:solidFill>
                <a:srgbClr val="89A54E"/>
              </a:solidFill>
              <a:ln w="25338">
                <a:noFill/>
              </a:ln>
              <a:effectLst>
                <a:outerShdw dist="35921" dir="2700000" algn="br">
                  <a:srgbClr val="000000"/>
                </a:outerShdw>
              </a:effectLst>
            </c:spPr>
          </c:dPt>
          <c:dPt>
            <c:idx val="1"/>
            <c:spPr>
              <a:solidFill>
                <a:srgbClr val="B9CD96"/>
              </a:solidFill>
              <a:ln w="25338">
                <a:noFill/>
              </a:ln>
              <a:effectLst>
                <a:outerShdw dist="35921" dir="2700000" algn="br">
                  <a:srgbClr val="000000"/>
                </a:outerShdw>
              </a:effectLst>
            </c:spPr>
          </c:dPt>
          <c:dLbls>
            <c:dLbl>
              <c:idx val="0"/>
              <c:layout/>
              <c:tx>
                <c:rich>
                  <a:bodyPr/>
                  <a:lstStyle/>
                  <a:p>
                    <a:pPr>
                      <a:defRPr lang="en-US"/>
                    </a:pPr>
                    <a:r>
                      <a:rPr lang="en-US"/>
                      <a:t>39%</a:t>
                    </a:r>
                  </a:p>
                </c:rich>
              </c:tx>
              <c:spPr>
                <a:noFill/>
                <a:ln w="25338">
                  <a:noFill/>
                </a:ln>
              </c:spPr>
            </c:dLbl>
            <c:dLbl>
              <c:idx val="1"/>
              <c:layout/>
              <c:tx>
                <c:rich>
                  <a:bodyPr/>
                  <a:lstStyle/>
                  <a:p>
                    <a:pPr>
                      <a:defRPr lang="en-US"/>
                    </a:pPr>
                    <a:r>
                      <a:rPr lang="en-US"/>
                      <a:t>61%</a:t>
                    </a:r>
                  </a:p>
                </c:rich>
              </c:tx>
              <c:spPr>
                <a:noFill/>
                <a:ln w="25338">
                  <a:noFill/>
                </a:ln>
              </c:spPr>
            </c:dLbl>
            <c:spPr>
              <a:noFill/>
              <a:ln w="25338">
                <a:noFill/>
              </a:ln>
            </c:spPr>
            <c:txPr>
              <a:bodyPr/>
              <a:lstStyle/>
              <a:p>
                <a:pPr>
                  <a:defRPr lang="en-US"/>
                </a:pPr>
                <a:endParaRPr lang="fr-FR"/>
              </a:p>
            </c:txPr>
            <c:showPercent val="1"/>
            <c:showLeaderLines val="1"/>
          </c:dLbls>
          <c:cat>
            <c:strRef>
              <c:f>Feuille2!$K$13:$K$14</c:f>
              <c:strCache>
                <c:ptCount val="2"/>
                <c:pt idx="0">
                  <c:v>Marchés d'insertion et de qualification professionnelle</c:v>
                </c:pt>
                <c:pt idx="1">
                  <c:v>Marchés de travaux/services</c:v>
                </c:pt>
              </c:strCache>
            </c:strRef>
          </c:cat>
          <c:val>
            <c:numRef>
              <c:f>Feuille2!$L$13:$L$14</c:f>
              <c:numCache>
                <c:formatCode>#,##0</c:formatCode>
                <c:ptCount val="2"/>
                <c:pt idx="0">
                  <c:v>36629.92</c:v>
                </c:pt>
                <c:pt idx="1">
                  <c:v>57468.08</c:v>
                </c:pt>
              </c:numCache>
            </c:numRef>
          </c:val>
        </c:ser>
      </c:pie3DChart>
      <c:spPr>
        <a:noFill/>
        <a:ln w="25338">
          <a:noFill/>
        </a:ln>
      </c:spPr>
    </c:plotArea>
    <c:legend>
      <c:legendPos val="r"/>
      <c:layout>
        <c:manualLayout>
          <c:xMode val="edge"/>
          <c:yMode val="edge"/>
          <c:x val="0.613793103448276"/>
          <c:y val="0.44311377245509"/>
          <c:w val="0.351724137931034"/>
          <c:h val="0.305389221556886"/>
        </c:manualLayout>
      </c:layout>
      <c:spPr>
        <a:noFill/>
        <a:ln w="25338">
          <a:noFill/>
        </a:ln>
      </c:spPr>
      <c:txPr>
        <a:bodyPr/>
        <a:lstStyle/>
        <a:p>
          <a:pPr>
            <a:defRPr lang="en-US"/>
          </a:pPr>
          <a:endParaRPr lang="fr-FR"/>
        </a:p>
      </c:txPr>
    </c:legend>
    <c:plotVisOnly val="1"/>
    <c:dispBlanksAs val="zero"/>
  </c:chart>
  <c:spPr>
    <a:solidFill>
      <a:srgbClr val="FFFFFF"/>
    </a:solidFill>
    <a:ln>
      <a:noFill/>
    </a:ln>
  </c:sp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lang val="fr-FR"/>
  <c:style val="18"/>
  <c:chart>
    <c:title>
      <c:tx>
        <c:rich>
          <a:bodyPr/>
          <a:lstStyle/>
          <a:p>
            <a:pPr>
              <a:defRPr lang="en-US"/>
            </a:pPr>
            <a:r>
              <a:rPr lang="en-US" sz="1798" b="1"/>
              <a:t>Nb Heures insertion par modalité</a:t>
            </a:r>
          </a:p>
        </c:rich>
      </c:tx>
      <c:spPr>
        <a:noFill/>
        <a:ln w="25375">
          <a:noFill/>
        </a:ln>
      </c:spPr>
    </c:title>
    <c:view3D>
      <c:rotX val="30"/>
      <c:perspective val="30"/>
    </c:view3D>
    <c:plotArea>
      <c:layout/>
      <c:pie3DChart>
        <c:varyColors val="1"/>
        <c:ser>
          <c:idx val="0"/>
          <c:order val="0"/>
          <c:tx>
            <c:strRef>
              <c:f>Feuille7!$B$6</c:f>
              <c:strCache>
                <c:ptCount val="1"/>
                <c:pt idx="0">
                  <c:v>Nb Heures</c:v>
                </c:pt>
              </c:strCache>
            </c:strRef>
          </c:tx>
          <c:spPr>
            <a:gradFill rotWithShape="0">
              <a:gsLst>
                <a:gs pos="0">
                  <a:srgbClr val="9BC1FF"/>
                </a:gs>
                <a:gs pos="100000">
                  <a:srgbClr val="3F80CD"/>
                </a:gs>
              </a:gsLst>
              <a:lin ang="5400000"/>
            </a:gradFill>
            <a:ln w="25375">
              <a:noFill/>
            </a:ln>
            <a:effectLst>
              <a:outerShdw dist="35921" dir="2700000" algn="br">
                <a:srgbClr val="000000"/>
              </a:outerShdw>
            </a:effectLst>
          </c:spPr>
          <c:dPt>
            <c:idx val="0"/>
            <c:spPr>
              <a:gradFill rotWithShape="0">
                <a:gsLst>
                  <a:gs pos="0">
                    <a:srgbClr val="A2BFF8"/>
                  </a:gs>
                  <a:gs pos="100000">
                    <a:srgbClr val="3670B6"/>
                  </a:gs>
                </a:gsLst>
                <a:lin ang="5400000"/>
              </a:gradFill>
              <a:ln w="25375">
                <a:noFill/>
              </a:ln>
              <a:effectLst>
                <a:outerShdw dist="35921" dir="2700000" algn="br">
                  <a:srgbClr val="000000"/>
                </a:outerShdw>
              </a:effectLst>
            </c:spPr>
          </c:dPt>
          <c:dPt>
            <c:idx val="1"/>
            <c:spPr>
              <a:gradFill rotWithShape="0">
                <a:gsLst>
                  <a:gs pos="0">
                    <a:srgbClr val="FAA1A0"/>
                  </a:gs>
                  <a:gs pos="100000">
                    <a:srgbClr val="B93734"/>
                  </a:gs>
                </a:gsLst>
                <a:lin ang="5400000"/>
              </a:gradFill>
              <a:ln w="25375">
                <a:noFill/>
              </a:ln>
              <a:effectLst>
                <a:outerShdw dist="35921" dir="2700000" algn="br">
                  <a:srgbClr val="000000"/>
                </a:outerShdw>
              </a:effectLst>
            </c:spPr>
          </c:dPt>
          <c:dPt>
            <c:idx val="2"/>
            <c:spPr>
              <a:gradFill rotWithShape="0">
                <a:gsLst>
                  <a:gs pos="0">
                    <a:srgbClr val="D4F4A6"/>
                  </a:gs>
                  <a:gs pos="100000">
                    <a:srgbClr val="8DB241"/>
                  </a:gs>
                </a:gsLst>
                <a:lin ang="5400000"/>
              </a:gradFill>
              <a:ln w="25375">
                <a:noFill/>
              </a:ln>
              <a:effectLst>
                <a:outerShdw dist="35921" dir="2700000" algn="br">
                  <a:srgbClr val="000000"/>
                </a:outerShdw>
              </a:effectLst>
            </c:spPr>
          </c:dPt>
          <c:dPt>
            <c:idx val="3"/>
            <c:spPr>
              <a:gradFill rotWithShape="0">
                <a:gsLst>
                  <a:gs pos="0">
                    <a:srgbClr val="C5B3E2"/>
                  </a:gs>
                  <a:gs pos="100000">
                    <a:srgbClr val="704F97"/>
                  </a:gs>
                </a:gsLst>
                <a:lin ang="5400000"/>
              </a:gradFill>
              <a:ln w="25375">
                <a:noFill/>
              </a:ln>
              <a:effectLst>
                <a:outerShdw dist="35921" dir="2700000" algn="br">
                  <a:srgbClr val="000000"/>
                </a:outerShdw>
              </a:effectLst>
            </c:spPr>
          </c:dPt>
          <c:dPt>
            <c:idx val="4"/>
            <c:spPr>
              <a:gradFill rotWithShape="0">
                <a:gsLst>
                  <a:gs pos="0">
                    <a:srgbClr val="9DE2FF"/>
                  </a:gs>
                  <a:gs pos="100000">
                    <a:srgbClr val="31A1C0"/>
                  </a:gs>
                </a:gsLst>
                <a:lin ang="5400000"/>
              </a:gradFill>
              <a:ln w="25375">
                <a:noFill/>
              </a:ln>
              <a:effectLst>
                <a:outerShdw dist="35921" dir="2700000" algn="br">
                  <a:srgbClr val="000000"/>
                </a:outerShdw>
              </a:effectLst>
            </c:spPr>
          </c:dPt>
          <c:dPt>
            <c:idx val="5"/>
            <c:spPr>
              <a:gradFill rotWithShape="0">
                <a:gsLst>
                  <a:gs pos="0">
                    <a:srgbClr val="FFB885"/>
                  </a:gs>
                  <a:gs pos="100000">
                    <a:srgbClr val="F28225"/>
                  </a:gs>
                </a:gsLst>
                <a:lin ang="5400000"/>
              </a:gradFill>
              <a:ln w="25375">
                <a:noFill/>
              </a:ln>
              <a:effectLst>
                <a:outerShdw dist="35921" dir="2700000" algn="br">
                  <a:srgbClr val="000000"/>
                </a:outerShdw>
              </a:effectLst>
            </c:spPr>
          </c:dPt>
          <c:dLbls>
            <c:dLbl>
              <c:idx val="3"/>
              <c:layout>
                <c:manualLayout>
                  <c:x val="0.149153385826772"/>
                  <c:y val="0.0121172564272839"/>
                </c:manualLayout>
              </c:layout>
              <c:spPr>
                <a:noFill/>
                <a:ln w="25375">
                  <a:noFill/>
                </a:ln>
              </c:spPr>
              <c:txPr>
                <a:bodyPr/>
                <a:lstStyle/>
                <a:p>
                  <a:pPr>
                    <a:defRPr lang="en-US"/>
                  </a:pPr>
                  <a:endParaRPr lang="fr-FR"/>
                </a:p>
              </c:txPr>
              <c:dLblPos val="bestFit"/>
              <c:showCatName val="1"/>
              <c:showPercent val="1"/>
            </c:dLbl>
            <c:dLbl>
              <c:idx val="5"/>
              <c:layout>
                <c:manualLayout>
                  <c:x val="0.0270085775360554"/>
                  <c:y val="0.0758708732836967"/>
                </c:manualLayout>
              </c:layout>
              <c:spPr>
                <a:noFill/>
                <a:ln w="25375">
                  <a:noFill/>
                </a:ln>
              </c:spPr>
              <c:txPr>
                <a:bodyPr/>
                <a:lstStyle/>
                <a:p>
                  <a:pPr>
                    <a:defRPr lang="en-US"/>
                  </a:pPr>
                  <a:endParaRPr lang="fr-FR"/>
                </a:p>
              </c:txPr>
              <c:dLblPos val="bestFit"/>
              <c:showCatName val="1"/>
              <c:showPercent val="1"/>
            </c:dLbl>
            <c:spPr>
              <a:noFill/>
              <a:ln w="25375">
                <a:noFill/>
              </a:ln>
            </c:spPr>
            <c:txPr>
              <a:bodyPr/>
              <a:lstStyle/>
              <a:p>
                <a:pPr>
                  <a:defRPr lang="en-US"/>
                </a:pPr>
                <a:endParaRPr lang="fr-FR"/>
              </a:p>
            </c:txPr>
            <c:showCatName val="1"/>
            <c:showPercent val="1"/>
            <c:showLeaderLines val="1"/>
          </c:dLbls>
          <c:cat>
            <c:strRef>
              <c:f>Feuille7!$A$7:$A$12</c:f>
              <c:strCache>
                <c:ptCount val="6"/>
                <c:pt idx="0">
                  <c:v>ACI</c:v>
                </c:pt>
                <c:pt idx="1">
                  <c:v>AI</c:v>
                </c:pt>
                <c:pt idx="2">
                  <c:v>ETTI</c:v>
                </c:pt>
                <c:pt idx="3">
                  <c:v>Embauche directe</c:v>
                </c:pt>
                <c:pt idx="4">
                  <c:v>GEIQ</c:v>
                </c:pt>
                <c:pt idx="5">
                  <c:v>ETT</c:v>
                </c:pt>
              </c:strCache>
            </c:strRef>
          </c:cat>
          <c:val>
            <c:numRef>
              <c:f>Feuille7!$B$7:$B$12</c:f>
              <c:numCache>
                <c:formatCode>#,##0</c:formatCode>
                <c:ptCount val="6"/>
                <c:pt idx="0">
                  <c:v>5921.5</c:v>
                </c:pt>
                <c:pt idx="1">
                  <c:v>32996.09</c:v>
                </c:pt>
                <c:pt idx="2">
                  <c:v>26920.0</c:v>
                </c:pt>
                <c:pt idx="3">
                  <c:v>13961.94</c:v>
                </c:pt>
                <c:pt idx="4">
                  <c:v>10312.5</c:v>
                </c:pt>
                <c:pt idx="5">
                  <c:v>3985.5</c:v>
                </c:pt>
              </c:numCache>
            </c:numRef>
          </c:val>
        </c:ser>
        <c:dLbls>
          <c:showCatName val="1"/>
          <c:showPercent val="1"/>
        </c:dLbls>
      </c:pie3DChart>
      <c:spPr>
        <a:noFill/>
        <a:ln w="25375">
          <a:noFill/>
        </a:ln>
      </c:spPr>
    </c:plotArea>
    <c:plotVisOnly val="1"/>
    <c:dispBlanksAs val="zero"/>
  </c:chart>
  <c:spPr>
    <a:solidFill>
      <a:srgbClr val="FFFFFF"/>
    </a:solidFill>
    <a:ln>
      <a:noFill/>
    </a:ln>
  </c:spPr>
  <c:txPr>
    <a:bodyPr/>
    <a:lstStyle/>
    <a:p>
      <a:pPr>
        <a:defRPr sz="999" b="0" i="0" u="none" strike="noStrike" baseline="0">
          <a:solidFill>
            <a:srgbClr val="000000"/>
          </a:solidFill>
          <a:latin typeface="Calibri"/>
          <a:ea typeface="Calibri"/>
          <a:cs typeface="Calibri"/>
        </a:defRPr>
      </a:pPr>
      <a:endParaRPr lang="fr-FR"/>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lang val="fr-FR"/>
  <c:style val="21"/>
  <c:chart>
    <c:title>
      <c:tx>
        <c:rich>
          <a:bodyPr/>
          <a:lstStyle/>
          <a:p>
            <a:pPr>
              <a:defRPr lang="en-US"/>
            </a:pPr>
            <a:r>
              <a:rPr lang="fr-FR"/>
              <a:t>Nb Heures insertion par modalité</a:t>
            </a:r>
          </a:p>
        </c:rich>
      </c:tx>
      <c:spPr>
        <a:noFill/>
        <a:ln w="25140">
          <a:noFill/>
        </a:ln>
      </c:spPr>
    </c:title>
    <c:plotArea>
      <c:layout>
        <c:manualLayout>
          <c:layoutTarget val="inner"/>
          <c:xMode val="edge"/>
          <c:yMode val="edge"/>
          <c:x val="0.153086419753086"/>
          <c:y val="0.1931330472103"/>
          <c:w val="0.654320987654321"/>
          <c:h val="0.600858369098712"/>
        </c:manualLayout>
      </c:layout>
      <c:barChart>
        <c:barDir val="col"/>
        <c:grouping val="clustered"/>
        <c:ser>
          <c:idx val="0"/>
          <c:order val="0"/>
          <c:tx>
            <c:strRef>
              <c:f>Feuille7!$B$6</c:f>
              <c:strCache>
                <c:ptCount val="1"/>
                <c:pt idx="0">
                  <c:v>Nb Heures</c:v>
                </c:pt>
              </c:strCache>
            </c:strRef>
          </c:tx>
          <c:spPr>
            <a:gradFill rotWithShape="0">
              <a:gsLst>
                <a:gs pos="0">
                  <a:srgbClr val="769535"/>
                </a:gs>
                <a:gs pos="80000">
                  <a:srgbClr val="9BC348"/>
                </a:gs>
                <a:gs pos="100000">
                  <a:srgbClr val="9CC746"/>
                </a:gs>
              </a:gsLst>
              <a:lin ang="16200000"/>
            </a:gradFill>
            <a:ln w="25140">
              <a:noFill/>
            </a:ln>
            <a:effectLst>
              <a:outerShdw dist="35921" dir="2700000" algn="br">
                <a:srgbClr val="000000"/>
              </a:outerShdw>
            </a:effectLst>
          </c:spPr>
          <c:dLbls>
            <c:spPr>
              <a:noFill/>
              <a:ln w="25140">
                <a:noFill/>
              </a:ln>
            </c:spPr>
            <c:txPr>
              <a:bodyPr/>
              <a:lstStyle/>
              <a:p>
                <a:pPr>
                  <a:defRPr lang="en-US"/>
                </a:pPr>
                <a:endParaRPr lang="fr-FR"/>
              </a:p>
            </c:txPr>
            <c:showVal val="1"/>
          </c:dLbls>
          <c:cat>
            <c:strRef>
              <c:f>Feuille7!$A$7:$A$12</c:f>
              <c:strCache>
                <c:ptCount val="6"/>
                <c:pt idx="0">
                  <c:v>ACI</c:v>
                </c:pt>
                <c:pt idx="1">
                  <c:v>AI</c:v>
                </c:pt>
                <c:pt idx="2">
                  <c:v>ETTI</c:v>
                </c:pt>
                <c:pt idx="3">
                  <c:v>Embauche directe</c:v>
                </c:pt>
                <c:pt idx="4">
                  <c:v>GEIQ</c:v>
                </c:pt>
                <c:pt idx="5">
                  <c:v>ETT</c:v>
                </c:pt>
              </c:strCache>
            </c:strRef>
          </c:cat>
          <c:val>
            <c:numRef>
              <c:f>Feuille7!$B$7:$B$12</c:f>
              <c:numCache>
                <c:formatCode>#,##0</c:formatCode>
                <c:ptCount val="6"/>
                <c:pt idx="0">
                  <c:v>5921.5</c:v>
                </c:pt>
                <c:pt idx="1">
                  <c:v>32996.09</c:v>
                </c:pt>
                <c:pt idx="2">
                  <c:v>26920.0</c:v>
                </c:pt>
                <c:pt idx="3">
                  <c:v>13961.94</c:v>
                </c:pt>
                <c:pt idx="4">
                  <c:v>10312.5</c:v>
                </c:pt>
                <c:pt idx="5">
                  <c:v>3985.5</c:v>
                </c:pt>
              </c:numCache>
            </c:numRef>
          </c:val>
        </c:ser>
        <c:axId val="732184328"/>
        <c:axId val="732173512"/>
      </c:barChart>
      <c:catAx>
        <c:axId val="732184328"/>
        <c:scaling>
          <c:orientation val="minMax"/>
        </c:scaling>
        <c:axPos val="b"/>
        <c:numFmt formatCode="General" sourceLinked="1"/>
        <c:tickLblPos val="nextTo"/>
        <c:spPr>
          <a:ln w="3142">
            <a:solidFill>
              <a:srgbClr val="808080"/>
            </a:solidFill>
            <a:prstDash val="solid"/>
          </a:ln>
        </c:spPr>
        <c:txPr>
          <a:bodyPr/>
          <a:lstStyle/>
          <a:p>
            <a:pPr>
              <a:defRPr lang="en-US"/>
            </a:pPr>
            <a:endParaRPr lang="fr-FR"/>
          </a:p>
        </c:txPr>
        <c:crossAx val="732173512"/>
        <c:crosses val="autoZero"/>
        <c:auto val="1"/>
        <c:lblAlgn val="ctr"/>
        <c:lblOffset val="100"/>
      </c:catAx>
      <c:valAx>
        <c:axId val="732173512"/>
        <c:scaling>
          <c:orientation val="minMax"/>
        </c:scaling>
        <c:axPos val="l"/>
        <c:majorGridlines>
          <c:spPr>
            <a:ln w="3142">
              <a:solidFill>
                <a:srgbClr val="808080"/>
              </a:solidFill>
              <a:prstDash val="solid"/>
            </a:ln>
          </c:spPr>
        </c:majorGridlines>
        <c:numFmt formatCode="#,##0" sourceLinked="1"/>
        <c:tickLblPos val="nextTo"/>
        <c:spPr>
          <a:ln w="3142">
            <a:solidFill>
              <a:srgbClr val="808080"/>
            </a:solidFill>
            <a:prstDash val="solid"/>
          </a:ln>
        </c:spPr>
        <c:txPr>
          <a:bodyPr/>
          <a:lstStyle/>
          <a:p>
            <a:pPr>
              <a:defRPr lang="en-US"/>
            </a:pPr>
            <a:endParaRPr lang="fr-FR"/>
          </a:p>
        </c:txPr>
        <c:crossAx val="732184328"/>
        <c:crosses val="autoZero"/>
        <c:crossBetween val="between"/>
      </c:valAx>
      <c:spPr>
        <a:solidFill>
          <a:srgbClr val="FFFFFF"/>
        </a:solidFill>
        <a:ln w="25140">
          <a:noFill/>
        </a:ln>
      </c:spPr>
    </c:plotArea>
    <c:plotVisOnly val="1"/>
    <c:dispBlanksAs val="gap"/>
  </c:chart>
  <c:spPr>
    <a:solidFill>
      <a:srgbClr val="FFFFFF"/>
    </a:solidFill>
    <a:ln>
      <a:noFill/>
    </a:ln>
  </c:sp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lang val="fr-FR"/>
  <c:style val="5"/>
  <c:chart>
    <c:title>
      <c:tx>
        <c:rich>
          <a:bodyPr/>
          <a:lstStyle/>
          <a:p>
            <a:pPr algn="ctr">
              <a:defRPr lang="en-US"/>
            </a:pPr>
            <a:r>
              <a:rPr lang="en-US"/>
              <a:t>Type de Contrats</a:t>
            </a:r>
          </a:p>
        </c:rich>
      </c:tx>
      <c:spPr>
        <a:noFill/>
        <a:ln w="25363">
          <a:noFill/>
        </a:ln>
      </c:spPr>
    </c:title>
    <c:plotArea>
      <c:layout>
        <c:manualLayout>
          <c:layoutTarget val="inner"/>
          <c:xMode val="edge"/>
          <c:yMode val="edge"/>
          <c:x val="0.137844611528822"/>
          <c:y val="0.21264367816092"/>
          <c:w val="0.834586466165413"/>
          <c:h val="0.436781609195402"/>
        </c:manualLayout>
      </c:layout>
      <c:barChart>
        <c:barDir val="col"/>
        <c:grouping val="clustered"/>
        <c:ser>
          <c:idx val="0"/>
          <c:order val="0"/>
          <c:tx>
            <c:strRef>
              <c:f>Feuil1!$D$25</c:f>
              <c:strCache>
                <c:ptCount val="1"/>
                <c:pt idx="0">
                  <c:v>Nbre</c:v>
                </c:pt>
              </c:strCache>
            </c:strRef>
          </c:tx>
          <c:spPr>
            <a:solidFill>
              <a:srgbClr val="9BBB59"/>
            </a:solidFill>
            <a:ln w="25363">
              <a:noFill/>
            </a:ln>
          </c:spPr>
          <c:cat>
            <c:strRef>
              <c:f>Feuil1!$C$26:$C$32</c:f>
              <c:strCache>
                <c:ptCount val="7"/>
                <c:pt idx="0">
                  <c:v>CDI</c:v>
                </c:pt>
                <c:pt idx="1">
                  <c:v>CDD &lt;6 mois</c:v>
                </c:pt>
                <c:pt idx="2">
                  <c:v>CDD &gt;6 mois </c:v>
                </c:pt>
                <c:pt idx="3">
                  <c:v>Mission Intérim (ETT)</c:v>
                </c:pt>
                <c:pt idx="4">
                  <c:v>Contrats aidés CUI-CAE</c:v>
                </c:pt>
                <c:pt idx="5">
                  <c:v>Mission Intérim Insertion (ETTI)</c:v>
                </c:pt>
                <c:pt idx="6">
                  <c:v>Contrats Usage (AI)</c:v>
                </c:pt>
              </c:strCache>
            </c:strRef>
          </c:cat>
          <c:val>
            <c:numRef>
              <c:f>Feuil1!$D$26:$D$32</c:f>
              <c:numCache>
                <c:formatCode>General</c:formatCode>
                <c:ptCount val="7"/>
                <c:pt idx="0">
                  <c:v>15.0</c:v>
                </c:pt>
                <c:pt idx="1">
                  <c:v>14.0</c:v>
                </c:pt>
                <c:pt idx="2">
                  <c:v>35.0</c:v>
                </c:pt>
                <c:pt idx="3">
                  <c:v>31.0</c:v>
                </c:pt>
                <c:pt idx="4">
                  <c:v>28.0</c:v>
                </c:pt>
                <c:pt idx="5">
                  <c:v>229.0</c:v>
                </c:pt>
                <c:pt idx="6">
                  <c:v>197.0</c:v>
                </c:pt>
              </c:numCache>
            </c:numRef>
          </c:val>
        </c:ser>
        <c:axId val="732120952"/>
        <c:axId val="732124840"/>
      </c:barChart>
      <c:catAx>
        <c:axId val="732120952"/>
        <c:scaling>
          <c:orientation val="minMax"/>
        </c:scaling>
        <c:axPos val="b"/>
        <c:numFmt formatCode="General" sourceLinked="1"/>
        <c:majorTickMark val="none"/>
        <c:tickLblPos val="nextTo"/>
        <c:spPr>
          <a:ln w="3170">
            <a:solidFill>
              <a:srgbClr val="808080"/>
            </a:solidFill>
            <a:prstDash val="solid"/>
          </a:ln>
        </c:spPr>
        <c:txPr>
          <a:bodyPr/>
          <a:lstStyle/>
          <a:p>
            <a:pPr>
              <a:defRPr lang="en-US"/>
            </a:pPr>
            <a:endParaRPr lang="fr-FR"/>
          </a:p>
        </c:txPr>
        <c:crossAx val="732124840"/>
        <c:crosses val="autoZero"/>
        <c:auto val="1"/>
        <c:lblAlgn val="ctr"/>
        <c:lblOffset val="100"/>
      </c:catAx>
      <c:valAx>
        <c:axId val="732124840"/>
        <c:scaling>
          <c:orientation val="minMax"/>
        </c:scaling>
        <c:axPos val="l"/>
        <c:majorGridlines>
          <c:spPr>
            <a:ln w="3170">
              <a:solidFill>
                <a:srgbClr val="808080"/>
              </a:solidFill>
              <a:prstDash val="solid"/>
            </a:ln>
          </c:spPr>
        </c:majorGridlines>
        <c:numFmt formatCode="General" sourceLinked="1"/>
        <c:majorTickMark val="none"/>
        <c:tickLblPos val="nextTo"/>
        <c:spPr>
          <a:ln w="3170">
            <a:solidFill>
              <a:srgbClr val="808080"/>
            </a:solidFill>
            <a:prstDash val="solid"/>
          </a:ln>
        </c:spPr>
        <c:txPr>
          <a:bodyPr/>
          <a:lstStyle/>
          <a:p>
            <a:pPr>
              <a:defRPr lang="en-US"/>
            </a:pPr>
            <a:endParaRPr lang="fr-FR"/>
          </a:p>
        </c:txPr>
        <c:crossAx val="732120952"/>
        <c:crosses val="autoZero"/>
        <c:crossBetween val="between"/>
      </c:valAx>
      <c:dTable>
        <c:showHorzBorder val="1"/>
        <c:showVertBorder val="1"/>
        <c:showOutline val="1"/>
        <c:showKeys val="1"/>
        <c:spPr>
          <a:ln w="3170">
            <a:solidFill>
              <a:srgbClr val="808080"/>
            </a:solidFill>
            <a:prstDash val="solid"/>
          </a:ln>
        </c:spPr>
        <c:txPr>
          <a:bodyPr/>
          <a:lstStyle/>
          <a:p>
            <a:pPr>
              <a:defRPr lang="en-US"/>
            </a:pPr>
            <a:endParaRPr lang="fr-FR"/>
          </a:p>
        </c:txPr>
      </c:dTable>
      <c:spPr>
        <a:solidFill>
          <a:srgbClr val="FFFFFF"/>
        </a:solidFill>
        <a:ln w="25363">
          <a:noFill/>
        </a:ln>
      </c:spPr>
    </c:plotArea>
    <c:plotVisOnly val="1"/>
    <c:dispBlanksAs val="gap"/>
  </c:chart>
  <c:spPr>
    <a:solidFill>
      <a:srgbClr val="FFFFFF"/>
    </a:solidFill>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fr-FR"/>
  <c:style val="2"/>
  <c:chart>
    <c:title>
      <c:tx>
        <c:rich>
          <a:bodyPr/>
          <a:lstStyle/>
          <a:p>
            <a:pPr>
              <a:defRPr lang="en-US"/>
            </a:pPr>
            <a:r>
              <a:rPr lang="en-US" sz="1760"/>
              <a:t>Nombre</a:t>
            </a:r>
            <a:r>
              <a:rPr lang="en-US" sz="1760" baseline="0"/>
              <a:t> de contrats par modalité de réponse à la clause sociale</a:t>
            </a:r>
            <a:endParaRPr lang="en-US" sz="1800"/>
          </a:p>
        </c:rich>
      </c:tx>
      <c:spPr>
        <a:noFill/>
        <a:ln w="24835">
          <a:noFill/>
        </a:ln>
      </c:spPr>
    </c:title>
    <c:plotArea>
      <c:layout>
        <c:manualLayout>
          <c:layoutTarget val="inner"/>
          <c:xMode val="edge"/>
          <c:yMode val="edge"/>
          <c:x val="0.349593495934959"/>
          <c:y val="0.321052631578947"/>
          <c:w val="0.29810298102981"/>
          <c:h val="0.578947368421053"/>
        </c:manualLayout>
      </c:layout>
      <c:pieChart>
        <c:varyColors val="1"/>
        <c:ser>
          <c:idx val="0"/>
          <c:order val="0"/>
          <c:tx>
            <c:strRef>
              <c:f>Feuille6!$B$6</c:f>
              <c:strCache>
                <c:ptCount val="1"/>
                <c:pt idx="0">
                  <c:v>Nb contrats</c:v>
                </c:pt>
              </c:strCache>
            </c:strRef>
          </c:tx>
          <c:spPr>
            <a:solidFill>
              <a:srgbClr val="4F81BD"/>
            </a:solidFill>
            <a:ln w="24835">
              <a:noFill/>
            </a:ln>
          </c:spPr>
          <c:dPt>
            <c:idx val="0"/>
            <c:spPr>
              <a:solidFill>
                <a:srgbClr val="4572A7"/>
              </a:solidFill>
              <a:ln w="24835">
                <a:noFill/>
              </a:ln>
            </c:spPr>
          </c:dPt>
          <c:dPt>
            <c:idx val="1"/>
            <c:spPr>
              <a:solidFill>
                <a:srgbClr val="AA4643"/>
              </a:solidFill>
              <a:ln w="24835">
                <a:noFill/>
              </a:ln>
            </c:spPr>
          </c:dPt>
          <c:dPt>
            <c:idx val="2"/>
            <c:spPr>
              <a:solidFill>
                <a:srgbClr val="89A54E"/>
              </a:solidFill>
              <a:ln w="24835">
                <a:noFill/>
              </a:ln>
            </c:spPr>
          </c:dPt>
          <c:dPt>
            <c:idx val="3"/>
            <c:spPr>
              <a:solidFill>
                <a:srgbClr val="71588F"/>
              </a:solidFill>
              <a:ln w="24835">
                <a:noFill/>
              </a:ln>
            </c:spPr>
          </c:dPt>
          <c:dPt>
            <c:idx val="4"/>
            <c:spPr>
              <a:solidFill>
                <a:srgbClr val="4198AF"/>
              </a:solidFill>
              <a:ln w="24835">
                <a:noFill/>
              </a:ln>
            </c:spPr>
          </c:dPt>
          <c:dPt>
            <c:idx val="5"/>
            <c:spPr>
              <a:solidFill>
                <a:srgbClr val="DB843D"/>
              </a:solidFill>
              <a:ln w="24835">
                <a:noFill/>
              </a:ln>
            </c:spPr>
          </c:dPt>
          <c:dLbls>
            <c:spPr>
              <a:noFill/>
              <a:ln w="24835">
                <a:noFill/>
              </a:ln>
            </c:spPr>
            <c:txPr>
              <a:bodyPr/>
              <a:lstStyle/>
              <a:p>
                <a:pPr>
                  <a:defRPr lang="en-US"/>
                </a:pPr>
                <a:endParaRPr lang="fr-FR"/>
              </a:p>
            </c:txPr>
            <c:showCatName val="1"/>
            <c:showPercent val="1"/>
            <c:showLeaderLines val="1"/>
          </c:dLbls>
          <c:cat>
            <c:strRef>
              <c:f>Feuille6!$A$7:$A$12</c:f>
              <c:strCache>
                <c:ptCount val="6"/>
                <c:pt idx="0">
                  <c:v>ACI</c:v>
                </c:pt>
                <c:pt idx="1">
                  <c:v>AI</c:v>
                </c:pt>
                <c:pt idx="2">
                  <c:v>Embauche directe</c:v>
                </c:pt>
                <c:pt idx="3">
                  <c:v>ETT</c:v>
                </c:pt>
                <c:pt idx="4">
                  <c:v>ETTI</c:v>
                </c:pt>
                <c:pt idx="5">
                  <c:v>GEIQ</c:v>
                </c:pt>
              </c:strCache>
            </c:strRef>
          </c:cat>
          <c:val>
            <c:numRef>
              <c:f>Feuille6!$B$7:$B$12</c:f>
              <c:numCache>
                <c:formatCode>[$-101040C]###,###,##0</c:formatCode>
                <c:ptCount val="6"/>
                <c:pt idx="0">
                  <c:v>28.0</c:v>
                </c:pt>
                <c:pt idx="1">
                  <c:v>197.0</c:v>
                </c:pt>
                <c:pt idx="2">
                  <c:v>35.0</c:v>
                </c:pt>
                <c:pt idx="3">
                  <c:v>31.0</c:v>
                </c:pt>
                <c:pt idx="4">
                  <c:v>229.0</c:v>
                </c:pt>
                <c:pt idx="5">
                  <c:v>29.0</c:v>
                </c:pt>
              </c:numCache>
            </c:numRef>
          </c:val>
        </c:ser>
        <c:dLbls>
          <c:showCatName val="1"/>
          <c:showPercent val="1"/>
        </c:dLbls>
        <c:firstSliceAng val="0"/>
      </c:pieChart>
      <c:spPr>
        <a:noFill/>
        <a:ln w="24835">
          <a:noFill/>
        </a:ln>
      </c:spPr>
    </c:plotArea>
    <c:plotVisOnly val="1"/>
    <c:dispBlanksAs val="zero"/>
  </c:chart>
  <c:spPr>
    <a:noFill/>
    <a:ln>
      <a:noFill/>
    </a:ln>
  </c:spPr>
  <c:externalData r:id="rId2"/>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3">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4">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5">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6">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2#7">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0D9A13E-F014-494C-B5C5-EE5908B77283}" type="doc">
      <dgm:prSet loTypeId="urn:microsoft.com/office/officeart/2008/layout/PictureAccentList" loCatId="picture" qsTypeId="urn:microsoft.com/office/officeart/2005/8/quickstyle/simple1#1" qsCatId="simple" csTypeId="urn:microsoft.com/office/officeart/2005/8/colors/colorful1#1" csCatId="colorful" phldr="1"/>
      <dgm:spPr/>
      <dgm:t>
        <a:bodyPr/>
        <a:lstStyle/>
        <a:p>
          <a:endParaRPr lang="fr-FR"/>
        </a:p>
      </dgm:t>
    </dgm:pt>
    <dgm:pt modelId="{9F26C4C2-10D6-4830-8623-89085F513640}">
      <dgm:prSet phldrT="[Texte]" custT="1"/>
      <dgm:spPr/>
      <dgm:t>
        <a:bodyPr/>
        <a:lstStyle/>
        <a:p>
          <a:r>
            <a:rPr lang="fr-FR" sz="2400"/>
            <a:t>Sommaire</a:t>
          </a:r>
        </a:p>
      </dgm:t>
    </dgm:pt>
    <dgm:pt modelId="{7D4EE009-AD5F-45D6-8BE1-2189DA4D0939}" type="parTrans" cxnId="{644DCF70-6AF0-465E-9A57-CACBF9D7E1C0}">
      <dgm:prSet/>
      <dgm:spPr/>
      <dgm:t>
        <a:bodyPr/>
        <a:lstStyle/>
        <a:p>
          <a:endParaRPr lang="fr-FR"/>
        </a:p>
      </dgm:t>
    </dgm:pt>
    <dgm:pt modelId="{8C8A339A-FC82-4D6D-855B-381CA62FFC6F}" type="sibTrans" cxnId="{644DCF70-6AF0-465E-9A57-CACBF9D7E1C0}">
      <dgm:prSet/>
      <dgm:spPr/>
      <dgm:t>
        <a:bodyPr/>
        <a:lstStyle/>
        <a:p>
          <a:endParaRPr lang="fr-FR"/>
        </a:p>
      </dgm:t>
    </dgm:pt>
    <dgm:pt modelId="{46144A80-48A4-4B0F-9C89-FEF914635B87}">
      <dgm:prSet phldrT="[Texte]"/>
      <dgm:spPr/>
      <dgm:t>
        <a:bodyPr/>
        <a:lstStyle/>
        <a:p>
          <a:pPr algn="l"/>
          <a:r>
            <a:rPr lang="fr-FR"/>
            <a:t>2. La mise en oeuvre quantitative des clauses sociales</a:t>
          </a:r>
        </a:p>
      </dgm:t>
    </dgm:pt>
    <dgm:pt modelId="{203A5878-1B55-4FC8-AD38-B32CEF9146A2}" type="parTrans" cxnId="{800DFD3A-67E9-492D-B573-B79E18A71BBF}">
      <dgm:prSet/>
      <dgm:spPr/>
      <dgm:t>
        <a:bodyPr/>
        <a:lstStyle/>
        <a:p>
          <a:endParaRPr lang="fr-FR"/>
        </a:p>
      </dgm:t>
    </dgm:pt>
    <dgm:pt modelId="{820A5FB6-AD4C-4A63-810F-21D7A345D0F0}" type="sibTrans" cxnId="{800DFD3A-67E9-492D-B573-B79E18A71BBF}">
      <dgm:prSet/>
      <dgm:spPr/>
      <dgm:t>
        <a:bodyPr/>
        <a:lstStyle/>
        <a:p>
          <a:endParaRPr lang="fr-FR"/>
        </a:p>
      </dgm:t>
    </dgm:pt>
    <dgm:pt modelId="{28C061D3-8674-4150-BA90-9EE13635A581}">
      <dgm:prSet phldrT="[Texte]"/>
      <dgm:spPr/>
      <dgm:t>
        <a:bodyPr/>
        <a:lstStyle/>
        <a:p>
          <a:pPr algn="l"/>
          <a:r>
            <a:rPr lang="fr-FR"/>
            <a:t>3. Les résultats qualitatifs des clauses sociales</a:t>
          </a:r>
        </a:p>
      </dgm:t>
    </dgm:pt>
    <dgm:pt modelId="{A714E9B9-F13C-4BE3-8986-5EF4AA7E97BA}" type="parTrans" cxnId="{3FE9C58B-D9D6-4316-AB6D-C241B0468DEF}">
      <dgm:prSet/>
      <dgm:spPr/>
      <dgm:t>
        <a:bodyPr/>
        <a:lstStyle/>
        <a:p>
          <a:endParaRPr lang="fr-FR"/>
        </a:p>
      </dgm:t>
    </dgm:pt>
    <dgm:pt modelId="{D302917B-B1AB-4012-8253-F7AF52EE45C8}" type="sibTrans" cxnId="{3FE9C58B-D9D6-4316-AB6D-C241B0468DEF}">
      <dgm:prSet/>
      <dgm:spPr/>
      <dgm:t>
        <a:bodyPr/>
        <a:lstStyle/>
        <a:p>
          <a:endParaRPr lang="fr-FR"/>
        </a:p>
      </dgm:t>
    </dgm:pt>
    <dgm:pt modelId="{CF7F906D-AE53-410B-8576-678642EA8F35}">
      <dgm:prSet/>
      <dgm:spPr>
        <a:solidFill>
          <a:schemeClr val="accent6"/>
        </a:solidFill>
        <a:ln>
          <a:noFill/>
        </a:ln>
      </dgm:spPr>
      <dgm:t>
        <a:bodyPr/>
        <a:lstStyle/>
        <a:p>
          <a:pPr algn="l"/>
          <a:r>
            <a:rPr lang="fr-FR"/>
            <a:t>4. L'impact des clauses sociales sur le retour à l'emploi des bénéficiares </a:t>
          </a:r>
        </a:p>
      </dgm:t>
    </dgm:pt>
    <dgm:pt modelId="{824DFE0E-7D7C-4DC1-BFC5-9E8418A98CFD}" type="parTrans" cxnId="{E5ECA00C-0BC9-4509-9640-21450448B250}">
      <dgm:prSet/>
      <dgm:spPr/>
      <dgm:t>
        <a:bodyPr/>
        <a:lstStyle/>
        <a:p>
          <a:endParaRPr lang="fr-FR"/>
        </a:p>
      </dgm:t>
    </dgm:pt>
    <dgm:pt modelId="{755A491C-1EB0-46D6-BD33-7F398ACF8CD5}" type="sibTrans" cxnId="{E5ECA00C-0BC9-4509-9640-21450448B250}">
      <dgm:prSet/>
      <dgm:spPr/>
      <dgm:t>
        <a:bodyPr/>
        <a:lstStyle/>
        <a:p>
          <a:endParaRPr lang="fr-FR"/>
        </a:p>
      </dgm:t>
    </dgm:pt>
    <dgm:pt modelId="{82648692-C732-46E3-A50F-1147795A566F}">
      <dgm:prSet/>
      <dgm:spPr>
        <a:solidFill>
          <a:schemeClr val="tx2">
            <a:lumMod val="60000"/>
            <a:lumOff val="40000"/>
          </a:schemeClr>
        </a:solidFill>
      </dgm:spPr>
      <dgm:t>
        <a:bodyPr/>
        <a:lstStyle/>
        <a:p>
          <a:pPr algn="l"/>
          <a:r>
            <a:rPr lang="fr-FR"/>
            <a:t>5.  Les perspectives de développement sur Bordeaux</a:t>
          </a:r>
        </a:p>
      </dgm:t>
    </dgm:pt>
    <dgm:pt modelId="{851A20FE-5752-47CC-B066-339E8A9D3FA9}" type="parTrans" cxnId="{681834DC-23EA-4C3D-A59B-BDEFB4EB2DCF}">
      <dgm:prSet/>
      <dgm:spPr/>
      <dgm:t>
        <a:bodyPr/>
        <a:lstStyle/>
        <a:p>
          <a:endParaRPr lang="fr-FR"/>
        </a:p>
      </dgm:t>
    </dgm:pt>
    <dgm:pt modelId="{C233071C-A98A-4EF3-A465-CDD024F9EF00}" type="sibTrans" cxnId="{681834DC-23EA-4C3D-A59B-BDEFB4EB2DCF}">
      <dgm:prSet/>
      <dgm:spPr/>
      <dgm:t>
        <a:bodyPr/>
        <a:lstStyle/>
        <a:p>
          <a:endParaRPr lang="fr-FR"/>
        </a:p>
      </dgm:t>
    </dgm:pt>
    <dgm:pt modelId="{626B93C3-8ACD-40E6-BD82-79071624237D}">
      <dgm:prSet/>
      <dgm:spPr/>
      <dgm:t>
        <a:bodyPr/>
        <a:lstStyle/>
        <a:p>
          <a:pPr algn="l"/>
          <a:r>
            <a:rPr lang="fr-FR"/>
            <a:t>6. Les actions connexes développées par le PLIE de Bordeaux</a:t>
          </a:r>
        </a:p>
      </dgm:t>
    </dgm:pt>
    <dgm:pt modelId="{55957696-0E6B-4ABC-94B7-EB325B33D029}" type="parTrans" cxnId="{8C9EBDC8-C41F-4A0C-B9BB-FE4E894D4A7A}">
      <dgm:prSet/>
      <dgm:spPr/>
      <dgm:t>
        <a:bodyPr/>
        <a:lstStyle/>
        <a:p>
          <a:endParaRPr lang="fr-FR"/>
        </a:p>
      </dgm:t>
    </dgm:pt>
    <dgm:pt modelId="{622E3EF7-165C-464A-A87C-46827AF084CF}" type="sibTrans" cxnId="{8C9EBDC8-C41F-4A0C-B9BB-FE4E894D4A7A}">
      <dgm:prSet/>
      <dgm:spPr/>
      <dgm:t>
        <a:bodyPr/>
        <a:lstStyle/>
        <a:p>
          <a:endParaRPr lang="fr-FR"/>
        </a:p>
      </dgm:t>
    </dgm:pt>
    <dgm:pt modelId="{122C711C-9CA3-4650-9184-870272AAFFD5}">
      <dgm:prSet/>
      <dgm:spPr/>
      <dgm:t>
        <a:bodyPr/>
        <a:lstStyle/>
        <a:p>
          <a:pPr algn="l"/>
          <a:r>
            <a:rPr lang="fr-FR"/>
            <a:t>1.  Rappel des missions du PLIE de Bordeaux : guichet unique territoriale de gestion des clauses sociales</a:t>
          </a:r>
        </a:p>
      </dgm:t>
    </dgm:pt>
    <dgm:pt modelId="{20B31F70-553E-4833-8D43-E900AE339587}" type="sibTrans" cxnId="{8A085C07-0B37-4A5A-BE5F-9A0B688339EB}">
      <dgm:prSet/>
      <dgm:spPr/>
      <dgm:t>
        <a:bodyPr/>
        <a:lstStyle/>
        <a:p>
          <a:endParaRPr lang="fr-FR"/>
        </a:p>
      </dgm:t>
    </dgm:pt>
    <dgm:pt modelId="{7E35F97B-C081-405F-B4A2-5175BFB3417E}" type="parTrans" cxnId="{8A085C07-0B37-4A5A-BE5F-9A0B688339EB}">
      <dgm:prSet/>
      <dgm:spPr/>
      <dgm:t>
        <a:bodyPr/>
        <a:lstStyle/>
        <a:p>
          <a:endParaRPr lang="fr-FR"/>
        </a:p>
      </dgm:t>
    </dgm:pt>
    <dgm:pt modelId="{2A627C6C-19F8-4FAB-AB77-B90949D074D1}" type="pres">
      <dgm:prSet presAssocID="{60D9A13E-F014-494C-B5C5-EE5908B77283}" presName="layout" presStyleCnt="0">
        <dgm:presLayoutVars>
          <dgm:chMax/>
          <dgm:chPref/>
          <dgm:dir/>
          <dgm:animOne val="branch"/>
          <dgm:animLvl val="lvl"/>
          <dgm:resizeHandles/>
        </dgm:presLayoutVars>
      </dgm:prSet>
      <dgm:spPr/>
      <dgm:t>
        <a:bodyPr/>
        <a:lstStyle/>
        <a:p>
          <a:endParaRPr lang="fr-FR"/>
        </a:p>
      </dgm:t>
    </dgm:pt>
    <dgm:pt modelId="{0FD154F9-8E69-42E6-B152-85E3BEBAD1DE}" type="pres">
      <dgm:prSet presAssocID="{9F26C4C2-10D6-4830-8623-89085F513640}" presName="root" presStyleCnt="0">
        <dgm:presLayoutVars>
          <dgm:chMax/>
          <dgm:chPref val="4"/>
        </dgm:presLayoutVars>
      </dgm:prSet>
      <dgm:spPr/>
      <dgm:t>
        <a:bodyPr/>
        <a:lstStyle/>
        <a:p>
          <a:endParaRPr lang="fr-FR"/>
        </a:p>
      </dgm:t>
    </dgm:pt>
    <dgm:pt modelId="{6489DD09-987A-4C08-B115-938914598E34}" type="pres">
      <dgm:prSet presAssocID="{9F26C4C2-10D6-4830-8623-89085F513640}" presName="rootComposite" presStyleCnt="0">
        <dgm:presLayoutVars/>
      </dgm:prSet>
      <dgm:spPr/>
      <dgm:t>
        <a:bodyPr/>
        <a:lstStyle/>
        <a:p>
          <a:endParaRPr lang="fr-FR"/>
        </a:p>
      </dgm:t>
    </dgm:pt>
    <dgm:pt modelId="{1BCBFE14-EB07-4862-AB57-2660D07D82BD}" type="pres">
      <dgm:prSet presAssocID="{9F26C4C2-10D6-4830-8623-89085F513640}" presName="rootText" presStyleLbl="node0" presStyleIdx="0" presStyleCnt="1" custScaleX="259378" custScaleY="125808">
        <dgm:presLayoutVars>
          <dgm:chMax/>
          <dgm:chPref val="4"/>
        </dgm:presLayoutVars>
      </dgm:prSet>
      <dgm:spPr/>
      <dgm:t>
        <a:bodyPr/>
        <a:lstStyle/>
        <a:p>
          <a:endParaRPr lang="fr-FR"/>
        </a:p>
      </dgm:t>
    </dgm:pt>
    <dgm:pt modelId="{C1008E81-EF95-4517-951D-A614DA62AC97}" type="pres">
      <dgm:prSet presAssocID="{9F26C4C2-10D6-4830-8623-89085F513640}" presName="childShape" presStyleCnt="0">
        <dgm:presLayoutVars>
          <dgm:chMax val="0"/>
          <dgm:chPref val="0"/>
        </dgm:presLayoutVars>
      </dgm:prSet>
      <dgm:spPr/>
      <dgm:t>
        <a:bodyPr/>
        <a:lstStyle/>
        <a:p>
          <a:endParaRPr lang="fr-FR"/>
        </a:p>
      </dgm:t>
    </dgm:pt>
    <dgm:pt modelId="{82BDCFB4-8B58-4E87-A6AB-144659BE8857}" type="pres">
      <dgm:prSet presAssocID="{122C711C-9CA3-4650-9184-870272AAFFD5}" presName="childComposite" presStyleCnt="0">
        <dgm:presLayoutVars>
          <dgm:chMax val="0"/>
          <dgm:chPref val="0"/>
        </dgm:presLayoutVars>
      </dgm:prSet>
      <dgm:spPr/>
      <dgm:t>
        <a:bodyPr/>
        <a:lstStyle/>
        <a:p>
          <a:endParaRPr lang="fr-FR"/>
        </a:p>
      </dgm:t>
    </dgm:pt>
    <dgm:pt modelId="{2D703620-2BA7-4ED9-8EEA-8FE5488A3F4A}" type="pres">
      <dgm:prSet presAssocID="{122C711C-9CA3-4650-9184-870272AAFFD5}" presName="Image" presStyleLbl="node1" presStyleIdx="0" presStyleCnt="6" custLinFactX="-138474" custLinFactNeighborX="-200000" custLinFactNeighborY="-1180"/>
      <dgm:spPr>
        <a:solidFill>
          <a:schemeClr val="accent2"/>
        </a:solidFill>
      </dgm:spPr>
      <dgm:t>
        <a:bodyPr/>
        <a:lstStyle/>
        <a:p>
          <a:endParaRPr lang="fr-FR"/>
        </a:p>
      </dgm:t>
    </dgm:pt>
    <dgm:pt modelId="{75FEEAFF-8939-427A-B244-A08BE4F098A0}" type="pres">
      <dgm:prSet presAssocID="{122C711C-9CA3-4650-9184-870272AAFFD5}" presName="childText" presStyleLbl="lnNode1" presStyleIdx="0" presStyleCnt="6" custScaleX="303332" custScaleY="113387" custLinFactNeighborX="18926" custLinFactNeighborY="7075">
        <dgm:presLayoutVars>
          <dgm:chMax val="0"/>
          <dgm:chPref val="0"/>
          <dgm:bulletEnabled val="1"/>
        </dgm:presLayoutVars>
      </dgm:prSet>
      <dgm:spPr/>
      <dgm:t>
        <a:bodyPr/>
        <a:lstStyle/>
        <a:p>
          <a:endParaRPr lang="fr-FR"/>
        </a:p>
      </dgm:t>
    </dgm:pt>
    <dgm:pt modelId="{6EBA4541-1614-4B82-BA32-2EBDC2EA0097}" type="pres">
      <dgm:prSet presAssocID="{46144A80-48A4-4B0F-9C89-FEF914635B87}" presName="childComposite" presStyleCnt="0">
        <dgm:presLayoutVars>
          <dgm:chMax val="0"/>
          <dgm:chPref val="0"/>
        </dgm:presLayoutVars>
      </dgm:prSet>
      <dgm:spPr/>
      <dgm:t>
        <a:bodyPr/>
        <a:lstStyle/>
        <a:p>
          <a:endParaRPr lang="fr-FR"/>
        </a:p>
      </dgm:t>
    </dgm:pt>
    <dgm:pt modelId="{FE76AF3D-8439-4481-BF24-3B1D40881D23}" type="pres">
      <dgm:prSet presAssocID="{46144A80-48A4-4B0F-9C89-FEF914635B87}" presName="Image" presStyleLbl="node1" presStyleIdx="1" presStyleCnt="6" custLinFactX="-165365" custLinFactNeighborX="-200000" custLinFactNeighborY="-3581"/>
      <dgm:spPr>
        <a:solidFill>
          <a:schemeClr val="accent3"/>
        </a:solidFill>
      </dgm:spPr>
      <dgm:t>
        <a:bodyPr/>
        <a:lstStyle/>
        <a:p>
          <a:endParaRPr lang="fr-FR"/>
        </a:p>
      </dgm:t>
    </dgm:pt>
    <dgm:pt modelId="{16D09EDC-20A6-4B18-9AE0-8EEDC9228F48}" type="pres">
      <dgm:prSet presAssocID="{46144A80-48A4-4B0F-9C89-FEF914635B87}" presName="childText" presStyleLbl="lnNode1" presStyleIdx="1" presStyleCnt="6" custScaleX="304684" custScaleY="101442" custLinFactNeighborX="17903" custLinFactNeighborY="3619">
        <dgm:presLayoutVars>
          <dgm:chMax val="0"/>
          <dgm:chPref val="0"/>
          <dgm:bulletEnabled val="1"/>
        </dgm:presLayoutVars>
      </dgm:prSet>
      <dgm:spPr/>
      <dgm:t>
        <a:bodyPr/>
        <a:lstStyle/>
        <a:p>
          <a:endParaRPr lang="fr-FR"/>
        </a:p>
      </dgm:t>
    </dgm:pt>
    <dgm:pt modelId="{82C268DC-72A3-4D8E-A5BC-0AE380AF8995}" type="pres">
      <dgm:prSet presAssocID="{28C061D3-8674-4150-BA90-9EE13635A581}" presName="childComposite" presStyleCnt="0">
        <dgm:presLayoutVars>
          <dgm:chMax val="0"/>
          <dgm:chPref val="0"/>
        </dgm:presLayoutVars>
      </dgm:prSet>
      <dgm:spPr/>
      <dgm:t>
        <a:bodyPr/>
        <a:lstStyle/>
        <a:p>
          <a:endParaRPr lang="fr-FR"/>
        </a:p>
      </dgm:t>
    </dgm:pt>
    <dgm:pt modelId="{8DDA2650-AF97-43C0-A233-5269C6907C4C}" type="pres">
      <dgm:prSet presAssocID="{28C061D3-8674-4150-BA90-9EE13635A581}" presName="Image" presStyleLbl="node1" presStyleIdx="2" presStyleCnt="6" custLinFactX="-260537" custLinFactNeighborX="-300000" custLinFactNeighborY="3356"/>
      <dgm:spPr>
        <a:solidFill>
          <a:schemeClr val="accent4"/>
        </a:solidFill>
      </dgm:spPr>
      <dgm:t>
        <a:bodyPr/>
        <a:lstStyle/>
        <a:p>
          <a:endParaRPr lang="fr-FR"/>
        </a:p>
      </dgm:t>
    </dgm:pt>
    <dgm:pt modelId="{AA353149-06ED-43EB-A0F8-2C4C7901989C}" type="pres">
      <dgm:prSet presAssocID="{28C061D3-8674-4150-BA90-9EE13635A581}" presName="childText" presStyleLbl="lnNode1" presStyleIdx="2" presStyleCnt="6" custScaleX="304026" custScaleY="109141" custLinFactNeighborX="19264" custLinFactNeighborY="5760">
        <dgm:presLayoutVars>
          <dgm:chMax val="0"/>
          <dgm:chPref val="0"/>
          <dgm:bulletEnabled val="1"/>
        </dgm:presLayoutVars>
      </dgm:prSet>
      <dgm:spPr/>
      <dgm:t>
        <a:bodyPr/>
        <a:lstStyle/>
        <a:p>
          <a:endParaRPr lang="fr-FR"/>
        </a:p>
      </dgm:t>
    </dgm:pt>
    <dgm:pt modelId="{38770347-1035-4D8E-BC26-4DCA58838BCA}" type="pres">
      <dgm:prSet presAssocID="{CF7F906D-AE53-410B-8576-678642EA8F35}" presName="childComposite" presStyleCnt="0">
        <dgm:presLayoutVars>
          <dgm:chMax val="0"/>
          <dgm:chPref val="0"/>
        </dgm:presLayoutVars>
      </dgm:prSet>
      <dgm:spPr/>
      <dgm:t>
        <a:bodyPr/>
        <a:lstStyle/>
        <a:p>
          <a:endParaRPr lang="fr-FR"/>
        </a:p>
      </dgm:t>
    </dgm:pt>
    <dgm:pt modelId="{96DD8DC4-6E8B-42E4-8834-6248B154D85E}" type="pres">
      <dgm:prSet presAssocID="{CF7F906D-AE53-410B-8576-678642EA8F35}" presName="Image" presStyleLbl="node1" presStyleIdx="3" presStyleCnt="6" custLinFactX="-116756" custLinFactNeighborX="-200000" custLinFactNeighborY="4474"/>
      <dgm:spPr>
        <a:solidFill>
          <a:schemeClr val="accent6"/>
        </a:solidFill>
      </dgm:spPr>
      <dgm:t>
        <a:bodyPr/>
        <a:lstStyle/>
        <a:p>
          <a:endParaRPr lang="fr-FR"/>
        </a:p>
      </dgm:t>
    </dgm:pt>
    <dgm:pt modelId="{B5CDBABC-098C-48E1-ACB8-C38153F404A2}" type="pres">
      <dgm:prSet presAssocID="{CF7F906D-AE53-410B-8576-678642EA8F35}" presName="childText" presStyleLbl="lnNode1" presStyleIdx="3" presStyleCnt="6" custScaleX="304027" custScaleY="100181" custLinFactNeighborX="17227" custLinFactNeighborY="7395">
        <dgm:presLayoutVars>
          <dgm:chMax val="0"/>
          <dgm:chPref val="0"/>
          <dgm:bulletEnabled val="1"/>
        </dgm:presLayoutVars>
      </dgm:prSet>
      <dgm:spPr/>
      <dgm:t>
        <a:bodyPr/>
        <a:lstStyle/>
        <a:p>
          <a:endParaRPr lang="fr-FR"/>
        </a:p>
      </dgm:t>
    </dgm:pt>
    <dgm:pt modelId="{E4FEA991-E10E-48BD-9ACF-3B80237B876C}" type="pres">
      <dgm:prSet presAssocID="{82648692-C732-46E3-A50F-1147795A566F}" presName="childComposite" presStyleCnt="0">
        <dgm:presLayoutVars>
          <dgm:chMax val="0"/>
          <dgm:chPref val="0"/>
        </dgm:presLayoutVars>
      </dgm:prSet>
      <dgm:spPr/>
      <dgm:t>
        <a:bodyPr/>
        <a:lstStyle/>
        <a:p>
          <a:endParaRPr lang="fr-FR"/>
        </a:p>
      </dgm:t>
    </dgm:pt>
    <dgm:pt modelId="{BBE3625E-1835-41CE-8A89-7ED37FC0ACEF}" type="pres">
      <dgm:prSet presAssocID="{82648692-C732-46E3-A50F-1147795A566F}" presName="Image" presStyleLbl="node1" presStyleIdx="4" presStyleCnt="6" custLinFactX="-118073" custLinFactNeighborX="-200000" custLinFactNeighborY="2276"/>
      <dgm:spPr>
        <a:solidFill>
          <a:schemeClr val="tx2">
            <a:lumMod val="60000"/>
            <a:lumOff val="40000"/>
          </a:schemeClr>
        </a:solidFill>
      </dgm:spPr>
      <dgm:t>
        <a:bodyPr/>
        <a:lstStyle/>
        <a:p>
          <a:endParaRPr lang="fr-FR"/>
        </a:p>
      </dgm:t>
    </dgm:pt>
    <dgm:pt modelId="{16E1CD0F-98F1-4A9D-89AA-FE2252C86639}" type="pres">
      <dgm:prSet presAssocID="{82648692-C732-46E3-A50F-1147795A566F}" presName="childText" presStyleLbl="lnNode1" presStyleIdx="4" presStyleCnt="6" custScaleX="304421" custScaleY="111191" custLinFactNeighborX="14669" custLinFactNeighborY="1949">
        <dgm:presLayoutVars>
          <dgm:chMax val="0"/>
          <dgm:chPref val="0"/>
          <dgm:bulletEnabled val="1"/>
        </dgm:presLayoutVars>
      </dgm:prSet>
      <dgm:spPr/>
      <dgm:t>
        <a:bodyPr/>
        <a:lstStyle/>
        <a:p>
          <a:endParaRPr lang="fr-FR"/>
        </a:p>
      </dgm:t>
    </dgm:pt>
    <dgm:pt modelId="{D768A5D6-5112-465C-B8A9-500CCE107760}" type="pres">
      <dgm:prSet presAssocID="{626B93C3-8ACD-40E6-BD82-79071624237D}" presName="childComposite" presStyleCnt="0">
        <dgm:presLayoutVars>
          <dgm:chMax val="0"/>
          <dgm:chPref val="0"/>
        </dgm:presLayoutVars>
      </dgm:prSet>
      <dgm:spPr/>
      <dgm:t>
        <a:bodyPr/>
        <a:lstStyle/>
        <a:p>
          <a:endParaRPr lang="fr-FR"/>
        </a:p>
      </dgm:t>
    </dgm:pt>
    <dgm:pt modelId="{27C1B1CF-0E12-45BA-BBD6-D47B0CD08766}" type="pres">
      <dgm:prSet presAssocID="{626B93C3-8ACD-40E6-BD82-79071624237D}" presName="Image" presStyleLbl="node1" presStyleIdx="5" presStyleCnt="6" custLinFactX="-107458" custLinFactNeighborX="-200000" custLinFactNeighborY="1768"/>
      <dgm:spPr>
        <a:solidFill>
          <a:schemeClr val="accent2"/>
        </a:solidFill>
      </dgm:spPr>
      <dgm:t>
        <a:bodyPr/>
        <a:lstStyle/>
        <a:p>
          <a:endParaRPr lang="fr-FR"/>
        </a:p>
      </dgm:t>
    </dgm:pt>
    <dgm:pt modelId="{C54C96A6-8EA9-4918-B922-1134C0F8839A}" type="pres">
      <dgm:prSet presAssocID="{626B93C3-8ACD-40E6-BD82-79071624237D}" presName="childText" presStyleLbl="lnNode1" presStyleIdx="5" presStyleCnt="6" custScaleX="305311" custScaleY="115173" custLinFactNeighborX="15312">
        <dgm:presLayoutVars>
          <dgm:chMax val="0"/>
          <dgm:chPref val="0"/>
          <dgm:bulletEnabled val="1"/>
        </dgm:presLayoutVars>
      </dgm:prSet>
      <dgm:spPr/>
      <dgm:t>
        <a:bodyPr/>
        <a:lstStyle/>
        <a:p>
          <a:endParaRPr lang="fr-FR"/>
        </a:p>
      </dgm:t>
    </dgm:pt>
  </dgm:ptLst>
  <dgm:cxnLst>
    <dgm:cxn modelId="{5CC623E9-9579-4006-A14E-5E7C8F7EBB19}" type="presOf" srcId="{60D9A13E-F014-494C-B5C5-EE5908B77283}" destId="{2A627C6C-19F8-4FAB-AB77-B90949D074D1}" srcOrd="0" destOrd="0" presId="urn:microsoft.com/office/officeart/2008/layout/PictureAccentList"/>
    <dgm:cxn modelId="{644DCF70-6AF0-465E-9A57-CACBF9D7E1C0}" srcId="{60D9A13E-F014-494C-B5C5-EE5908B77283}" destId="{9F26C4C2-10D6-4830-8623-89085F513640}" srcOrd="0" destOrd="0" parTransId="{7D4EE009-AD5F-45D6-8BE1-2189DA4D0939}" sibTransId="{8C8A339A-FC82-4D6D-855B-381CA62FFC6F}"/>
    <dgm:cxn modelId="{EE9B9BB2-6942-42D2-A7F2-D86E4118A3CE}" type="presOf" srcId="{82648692-C732-46E3-A50F-1147795A566F}" destId="{16E1CD0F-98F1-4A9D-89AA-FE2252C86639}" srcOrd="0" destOrd="0" presId="urn:microsoft.com/office/officeart/2008/layout/PictureAccentList"/>
    <dgm:cxn modelId="{681834DC-23EA-4C3D-A59B-BDEFB4EB2DCF}" srcId="{9F26C4C2-10D6-4830-8623-89085F513640}" destId="{82648692-C732-46E3-A50F-1147795A566F}" srcOrd="4" destOrd="0" parTransId="{851A20FE-5752-47CC-B066-339E8A9D3FA9}" sibTransId="{C233071C-A98A-4EF3-A465-CDD024F9EF00}"/>
    <dgm:cxn modelId="{E5ECA00C-0BC9-4509-9640-21450448B250}" srcId="{9F26C4C2-10D6-4830-8623-89085F513640}" destId="{CF7F906D-AE53-410B-8576-678642EA8F35}" srcOrd="3" destOrd="0" parTransId="{824DFE0E-7D7C-4DC1-BFC5-9E8418A98CFD}" sibTransId="{755A491C-1EB0-46D6-BD33-7F398ACF8CD5}"/>
    <dgm:cxn modelId="{3FE9C58B-D9D6-4316-AB6D-C241B0468DEF}" srcId="{9F26C4C2-10D6-4830-8623-89085F513640}" destId="{28C061D3-8674-4150-BA90-9EE13635A581}" srcOrd="2" destOrd="0" parTransId="{A714E9B9-F13C-4BE3-8986-5EF4AA7E97BA}" sibTransId="{D302917B-B1AB-4012-8253-F7AF52EE45C8}"/>
    <dgm:cxn modelId="{3723D287-7703-4C36-BCC3-B71BB07E8BC1}" type="presOf" srcId="{28C061D3-8674-4150-BA90-9EE13635A581}" destId="{AA353149-06ED-43EB-A0F8-2C4C7901989C}" srcOrd="0" destOrd="0" presId="urn:microsoft.com/office/officeart/2008/layout/PictureAccentList"/>
    <dgm:cxn modelId="{D6961857-D00A-4EC1-858E-3AE1F9593AA6}" type="presOf" srcId="{626B93C3-8ACD-40E6-BD82-79071624237D}" destId="{C54C96A6-8EA9-4918-B922-1134C0F8839A}" srcOrd="0" destOrd="0" presId="urn:microsoft.com/office/officeart/2008/layout/PictureAccentList"/>
    <dgm:cxn modelId="{01D8BC39-A7B2-4CC7-B9B7-41D2E1503A5C}" type="presOf" srcId="{122C711C-9CA3-4650-9184-870272AAFFD5}" destId="{75FEEAFF-8939-427A-B244-A08BE4F098A0}" srcOrd="0" destOrd="0" presId="urn:microsoft.com/office/officeart/2008/layout/PictureAccentList"/>
    <dgm:cxn modelId="{5C6F63EB-3E01-492E-9118-03733D8BE29A}" type="presOf" srcId="{46144A80-48A4-4B0F-9C89-FEF914635B87}" destId="{16D09EDC-20A6-4B18-9AE0-8EEDC9228F48}" srcOrd="0" destOrd="0" presId="urn:microsoft.com/office/officeart/2008/layout/PictureAccentList"/>
    <dgm:cxn modelId="{536F78D6-DA3D-4FD7-AB4E-76D9C9374A73}" type="presOf" srcId="{CF7F906D-AE53-410B-8576-678642EA8F35}" destId="{B5CDBABC-098C-48E1-ACB8-C38153F404A2}" srcOrd="0" destOrd="0" presId="urn:microsoft.com/office/officeart/2008/layout/PictureAccentList"/>
    <dgm:cxn modelId="{2C277A1D-A28B-4CBC-867E-2A129C038637}" type="presOf" srcId="{9F26C4C2-10D6-4830-8623-89085F513640}" destId="{1BCBFE14-EB07-4862-AB57-2660D07D82BD}" srcOrd="0" destOrd="0" presId="urn:microsoft.com/office/officeart/2008/layout/PictureAccentList"/>
    <dgm:cxn modelId="{800DFD3A-67E9-492D-B573-B79E18A71BBF}" srcId="{9F26C4C2-10D6-4830-8623-89085F513640}" destId="{46144A80-48A4-4B0F-9C89-FEF914635B87}" srcOrd="1" destOrd="0" parTransId="{203A5878-1B55-4FC8-AD38-B32CEF9146A2}" sibTransId="{820A5FB6-AD4C-4A63-810F-21D7A345D0F0}"/>
    <dgm:cxn modelId="{8A085C07-0B37-4A5A-BE5F-9A0B688339EB}" srcId="{9F26C4C2-10D6-4830-8623-89085F513640}" destId="{122C711C-9CA3-4650-9184-870272AAFFD5}" srcOrd="0" destOrd="0" parTransId="{7E35F97B-C081-405F-B4A2-5175BFB3417E}" sibTransId="{20B31F70-553E-4833-8D43-E900AE339587}"/>
    <dgm:cxn modelId="{8C9EBDC8-C41F-4A0C-B9BB-FE4E894D4A7A}" srcId="{9F26C4C2-10D6-4830-8623-89085F513640}" destId="{626B93C3-8ACD-40E6-BD82-79071624237D}" srcOrd="5" destOrd="0" parTransId="{55957696-0E6B-4ABC-94B7-EB325B33D029}" sibTransId="{622E3EF7-165C-464A-A87C-46827AF084CF}"/>
    <dgm:cxn modelId="{C4BAA882-B467-41BD-8DC8-0DDB2EFC9282}" type="presParOf" srcId="{2A627C6C-19F8-4FAB-AB77-B90949D074D1}" destId="{0FD154F9-8E69-42E6-B152-85E3BEBAD1DE}" srcOrd="0" destOrd="0" presId="urn:microsoft.com/office/officeart/2008/layout/PictureAccentList"/>
    <dgm:cxn modelId="{15CA65A0-910E-458F-8FA2-11BAC5BA9FD8}" type="presParOf" srcId="{0FD154F9-8E69-42E6-B152-85E3BEBAD1DE}" destId="{6489DD09-987A-4C08-B115-938914598E34}" srcOrd="0" destOrd="0" presId="urn:microsoft.com/office/officeart/2008/layout/PictureAccentList"/>
    <dgm:cxn modelId="{C6D3DAF0-D3E4-4938-8F9D-8E2D39758506}" type="presParOf" srcId="{6489DD09-987A-4C08-B115-938914598E34}" destId="{1BCBFE14-EB07-4862-AB57-2660D07D82BD}" srcOrd="0" destOrd="0" presId="urn:microsoft.com/office/officeart/2008/layout/PictureAccentList"/>
    <dgm:cxn modelId="{6CEB91C9-7FAE-43F5-82BF-DFBFE38D2071}" type="presParOf" srcId="{0FD154F9-8E69-42E6-B152-85E3BEBAD1DE}" destId="{C1008E81-EF95-4517-951D-A614DA62AC97}" srcOrd="1" destOrd="0" presId="urn:microsoft.com/office/officeart/2008/layout/PictureAccentList"/>
    <dgm:cxn modelId="{9F6E9DFC-7F0D-4667-BE65-188FC07343D1}" type="presParOf" srcId="{C1008E81-EF95-4517-951D-A614DA62AC97}" destId="{82BDCFB4-8B58-4E87-A6AB-144659BE8857}" srcOrd="0" destOrd="0" presId="urn:microsoft.com/office/officeart/2008/layout/PictureAccentList"/>
    <dgm:cxn modelId="{1724A44A-3887-4B77-9CD3-90386553CD5D}" type="presParOf" srcId="{82BDCFB4-8B58-4E87-A6AB-144659BE8857}" destId="{2D703620-2BA7-4ED9-8EEA-8FE5488A3F4A}" srcOrd="0" destOrd="0" presId="urn:microsoft.com/office/officeart/2008/layout/PictureAccentList"/>
    <dgm:cxn modelId="{33E630F1-DC3A-4B14-9B3A-B3BCE87E7232}" type="presParOf" srcId="{82BDCFB4-8B58-4E87-A6AB-144659BE8857}" destId="{75FEEAFF-8939-427A-B244-A08BE4F098A0}" srcOrd="1" destOrd="0" presId="urn:microsoft.com/office/officeart/2008/layout/PictureAccentList"/>
    <dgm:cxn modelId="{1248E5B2-E4FA-40D9-AD13-8F1FF50BACD6}" type="presParOf" srcId="{C1008E81-EF95-4517-951D-A614DA62AC97}" destId="{6EBA4541-1614-4B82-BA32-2EBDC2EA0097}" srcOrd="1" destOrd="0" presId="urn:microsoft.com/office/officeart/2008/layout/PictureAccentList"/>
    <dgm:cxn modelId="{F2482DE7-CC6E-4607-A2B5-794BA985DAD7}" type="presParOf" srcId="{6EBA4541-1614-4B82-BA32-2EBDC2EA0097}" destId="{FE76AF3D-8439-4481-BF24-3B1D40881D23}" srcOrd="0" destOrd="0" presId="urn:microsoft.com/office/officeart/2008/layout/PictureAccentList"/>
    <dgm:cxn modelId="{A02225BC-3906-420B-959C-AA4129AD81DC}" type="presParOf" srcId="{6EBA4541-1614-4B82-BA32-2EBDC2EA0097}" destId="{16D09EDC-20A6-4B18-9AE0-8EEDC9228F48}" srcOrd="1" destOrd="0" presId="urn:microsoft.com/office/officeart/2008/layout/PictureAccentList"/>
    <dgm:cxn modelId="{60C693B9-AE14-4119-BCC3-E0E3696D655E}" type="presParOf" srcId="{C1008E81-EF95-4517-951D-A614DA62AC97}" destId="{82C268DC-72A3-4D8E-A5BC-0AE380AF8995}" srcOrd="2" destOrd="0" presId="urn:microsoft.com/office/officeart/2008/layout/PictureAccentList"/>
    <dgm:cxn modelId="{9E792BAA-5EC4-431C-85D4-20CC51C2FE62}" type="presParOf" srcId="{82C268DC-72A3-4D8E-A5BC-0AE380AF8995}" destId="{8DDA2650-AF97-43C0-A233-5269C6907C4C}" srcOrd="0" destOrd="0" presId="urn:microsoft.com/office/officeart/2008/layout/PictureAccentList"/>
    <dgm:cxn modelId="{A2BE19ED-F1BA-40F4-AFA7-4EBE587D8201}" type="presParOf" srcId="{82C268DC-72A3-4D8E-A5BC-0AE380AF8995}" destId="{AA353149-06ED-43EB-A0F8-2C4C7901989C}" srcOrd="1" destOrd="0" presId="urn:microsoft.com/office/officeart/2008/layout/PictureAccentList"/>
    <dgm:cxn modelId="{9D2E1ED3-551E-4F9B-ACD1-D4B22CEB70A0}" type="presParOf" srcId="{C1008E81-EF95-4517-951D-A614DA62AC97}" destId="{38770347-1035-4D8E-BC26-4DCA58838BCA}" srcOrd="3" destOrd="0" presId="urn:microsoft.com/office/officeart/2008/layout/PictureAccentList"/>
    <dgm:cxn modelId="{E8A98178-90FF-479F-AD0F-F093449B062C}" type="presParOf" srcId="{38770347-1035-4D8E-BC26-4DCA58838BCA}" destId="{96DD8DC4-6E8B-42E4-8834-6248B154D85E}" srcOrd="0" destOrd="0" presId="urn:microsoft.com/office/officeart/2008/layout/PictureAccentList"/>
    <dgm:cxn modelId="{46571E4D-1C22-4FB1-84F1-CD4FE5EFF1A2}" type="presParOf" srcId="{38770347-1035-4D8E-BC26-4DCA58838BCA}" destId="{B5CDBABC-098C-48E1-ACB8-C38153F404A2}" srcOrd="1" destOrd="0" presId="urn:microsoft.com/office/officeart/2008/layout/PictureAccentList"/>
    <dgm:cxn modelId="{3826B385-69A1-4759-AE87-0A6AE2F2CA58}" type="presParOf" srcId="{C1008E81-EF95-4517-951D-A614DA62AC97}" destId="{E4FEA991-E10E-48BD-9ACF-3B80237B876C}" srcOrd="4" destOrd="0" presId="urn:microsoft.com/office/officeart/2008/layout/PictureAccentList"/>
    <dgm:cxn modelId="{FCECD8B1-63D0-4B5D-B2BF-443509F17760}" type="presParOf" srcId="{E4FEA991-E10E-48BD-9ACF-3B80237B876C}" destId="{BBE3625E-1835-41CE-8A89-7ED37FC0ACEF}" srcOrd="0" destOrd="0" presId="urn:microsoft.com/office/officeart/2008/layout/PictureAccentList"/>
    <dgm:cxn modelId="{B1FD9B0E-48AA-4BE1-96E3-7AD3B7BC5C60}" type="presParOf" srcId="{E4FEA991-E10E-48BD-9ACF-3B80237B876C}" destId="{16E1CD0F-98F1-4A9D-89AA-FE2252C86639}" srcOrd="1" destOrd="0" presId="urn:microsoft.com/office/officeart/2008/layout/PictureAccentList"/>
    <dgm:cxn modelId="{A886B33B-2ED4-4FAB-8219-3125007E51FD}" type="presParOf" srcId="{C1008E81-EF95-4517-951D-A614DA62AC97}" destId="{D768A5D6-5112-465C-B8A9-500CCE107760}" srcOrd="5" destOrd="0" presId="urn:microsoft.com/office/officeart/2008/layout/PictureAccentList"/>
    <dgm:cxn modelId="{197EF763-059B-4A95-9EC0-44B81E7DE94C}" type="presParOf" srcId="{D768A5D6-5112-465C-B8A9-500CCE107760}" destId="{27C1B1CF-0E12-45BA-BBD6-D47B0CD08766}" srcOrd="0" destOrd="0" presId="urn:microsoft.com/office/officeart/2008/layout/PictureAccentList"/>
    <dgm:cxn modelId="{99CC02B5-B4E7-41E8-9348-7201F6B9879F}" type="presParOf" srcId="{D768A5D6-5112-465C-B8A9-500CCE107760}" destId="{C54C96A6-8EA9-4918-B922-1134C0F8839A}" srcOrd="1" destOrd="0" presId="urn:microsoft.com/office/officeart/2008/layout/PictureAccentList"/>
  </dgm:cxnLst>
  <dgm:bg/>
  <dgm:whole/>
  <dgm:extLst>
    <a:ext uri="http://schemas.microsoft.com/office/drawing/2008/diagram">
      <dsp:dataModelExt xmlns:dsp="http://schemas.microsoft.com/office/drawing/2008/diagram" xmlns="" relId="rId15"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93B12CCA-E787-4286-803D-8D1C66F9271A}" type="doc">
      <dgm:prSet loTypeId="urn:microsoft.com/office/officeart/2011/layout/TabList" loCatId="officeonline" qsTypeId="urn:microsoft.com/office/officeart/2005/8/quickstyle/simple1#10" qsCatId="simple" csTypeId="urn:microsoft.com/office/officeart/2005/8/colors/accent3_2" csCatId="accent3" phldr="1"/>
      <dgm:spPr/>
      <dgm:t>
        <a:bodyPr/>
        <a:lstStyle/>
        <a:p>
          <a:endParaRPr lang="fr-FR"/>
        </a:p>
      </dgm:t>
    </dgm:pt>
    <dgm:pt modelId="{DB0DDD43-3E42-41DD-B160-816BEB4531E5}">
      <dgm:prSet phldrT="[Texte]"/>
      <dgm:spPr>
        <a:xfrm>
          <a:off x="0" y="132896"/>
          <a:ext cx="691007" cy="412305"/>
        </a:xfrm>
        <a:solidFill>
          <a:srgbClr val="9BBB59">
            <a:hueOff val="0"/>
            <a:satOff val="0"/>
            <a:lumOff val="0"/>
            <a:alphaOff val="0"/>
          </a:srgbClr>
        </a:solidFill>
        <a:ln w="25400" cap="flat" cmpd="sng" algn="ctr">
          <a:solidFill>
            <a:srgbClr val="9BBB59">
              <a:hueOff val="0"/>
              <a:satOff val="0"/>
              <a:lumOff val="0"/>
              <a:alphaOff val="0"/>
            </a:srgbClr>
          </a:solidFill>
          <a:prstDash val="solid"/>
        </a:ln>
        <a:effectLst/>
      </dgm:spPr>
      <dgm:t>
        <a:bodyPr/>
        <a:lstStyle/>
        <a:p>
          <a:endParaRPr lang="fr-FR">
            <a:solidFill>
              <a:sysClr val="window" lastClr="FFFFFF"/>
            </a:solidFill>
            <a:latin typeface="Calibri"/>
            <a:ea typeface="+mn-ea"/>
            <a:cs typeface="+mn-cs"/>
          </a:endParaRPr>
        </a:p>
      </dgm:t>
    </dgm:pt>
    <dgm:pt modelId="{36EEAA6D-E1E3-438A-A1BA-DBEF38459F4B}" type="parTrans" cxnId="{AF0D4245-8210-49DD-9C17-9F90026A91B0}">
      <dgm:prSet/>
      <dgm:spPr/>
      <dgm:t>
        <a:bodyPr/>
        <a:lstStyle/>
        <a:p>
          <a:endParaRPr lang="fr-FR"/>
        </a:p>
      </dgm:t>
    </dgm:pt>
    <dgm:pt modelId="{CFFF2C85-6A86-4D98-AC1F-4A15CF5FBD43}" type="sibTrans" cxnId="{AF0D4245-8210-49DD-9C17-9F90026A91B0}">
      <dgm:prSet/>
      <dgm:spPr/>
      <dgm:t>
        <a:bodyPr/>
        <a:lstStyle/>
        <a:p>
          <a:endParaRPr lang="fr-FR"/>
        </a:p>
      </dgm:t>
    </dgm:pt>
    <dgm:pt modelId="{F8435DD9-7E46-409A-ADED-3F8BD61CA0E2}">
      <dgm:prSet phldrT="[Texte]" custT="1"/>
      <dgm:spPr>
        <a:xfrm>
          <a:off x="837416" y="124142"/>
          <a:ext cx="4712183" cy="412305"/>
        </a:xfrm>
        <a:noFill/>
        <a:ln>
          <a:noFill/>
        </a:ln>
        <a:effectLst/>
      </dgm:spPr>
      <dgm:t>
        <a:bodyPr/>
        <a:lstStyle/>
        <a:p>
          <a:r>
            <a:rPr lang="fr-FR" sz="1900">
              <a:solidFill>
                <a:sysClr val="windowText" lastClr="000000">
                  <a:hueOff val="0"/>
                  <a:satOff val="0"/>
                  <a:lumOff val="0"/>
                  <a:alphaOff val="0"/>
                </a:sysClr>
              </a:solidFill>
              <a:latin typeface="Calibri"/>
              <a:ea typeface="+mn-ea"/>
              <a:cs typeface="+mn-cs"/>
            </a:rPr>
            <a:t>Les différents métiers représentés </a:t>
          </a:r>
        </a:p>
      </dgm:t>
    </dgm:pt>
    <dgm:pt modelId="{93A07A27-6C53-401E-A3F2-525C626F1483}" type="parTrans" cxnId="{1840090F-FCD6-44D9-B5D8-18C650DED1D4}">
      <dgm:prSet/>
      <dgm:spPr/>
      <dgm:t>
        <a:bodyPr/>
        <a:lstStyle/>
        <a:p>
          <a:endParaRPr lang="fr-FR"/>
        </a:p>
      </dgm:t>
    </dgm:pt>
    <dgm:pt modelId="{F2859BC6-84DB-4A77-8D26-EF96EC4285F4}" type="sibTrans" cxnId="{1840090F-FCD6-44D9-B5D8-18C650DED1D4}">
      <dgm:prSet/>
      <dgm:spPr/>
      <dgm:t>
        <a:bodyPr/>
        <a:lstStyle/>
        <a:p>
          <a:endParaRPr lang="fr-FR"/>
        </a:p>
      </dgm:t>
    </dgm:pt>
    <dgm:pt modelId="{BD38DCE7-F8F9-4F18-8F40-899D9A44141E}">
      <dgm:prSet phldrT="[Texte]"/>
      <dgm:spPr>
        <a:xfrm>
          <a:off x="0" y="678098"/>
          <a:ext cx="5762624" cy="560151"/>
        </a:xfrm>
        <a:noFill/>
        <a:ln>
          <a:noFill/>
        </a:ln>
        <a:effectLst/>
      </dgm:spPr>
      <dgm:t>
        <a:bodyPr/>
        <a:lstStyle/>
        <a:p>
          <a:endParaRPr lang="fr-FR" sz="1600">
            <a:solidFill>
              <a:sysClr val="windowText" lastClr="000000">
                <a:hueOff val="0"/>
                <a:satOff val="0"/>
                <a:lumOff val="0"/>
                <a:alphaOff val="0"/>
              </a:sysClr>
            </a:solidFill>
            <a:latin typeface="Calibri"/>
            <a:ea typeface="+mn-ea"/>
            <a:cs typeface="+mn-cs"/>
          </a:endParaRPr>
        </a:p>
      </dgm:t>
    </dgm:pt>
    <dgm:pt modelId="{44B7EF97-6BB1-4945-A109-73827DE88747}" type="parTrans" cxnId="{A206468E-26A4-4879-B1D7-72C75F23A456}">
      <dgm:prSet/>
      <dgm:spPr/>
      <dgm:t>
        <a:bodyPr/>
        <a:lstStyle/>
        <a:p>
          <a:endParaRPr lang="fr-FR"/>
        </a:p>
      </dgm:t>
    </dgm:pt>
    <dgm:pt modelId="{E15AF197-06F6-4A6D-92FD-57C442D8B56D}" type="sibTrans" cxnId="{A206468E-26A4-4879-B1D7-72C75F23A456}">
      <dgm:prSet/>
      <dgm:spPr/>
      <dgm:t>
        <a:bodyPr/>
        <a:lstStyle/>
        <a:p>
          <a:endParaRPr lang="fr-FR"/>
        </a:p>
      </dgm:t>
    </dgm:pt>
    <dgm:pt modelId="{C4A48B8C-7FCC-483E-9E88-41A60A13A77B}">
      <dgm:prSet phldrT="[Texte]" custT="1"/>
      <dgm:spPr>
        <a:xfrm>
          <a:off x="0" y="678098"/>
          <a:ext cx="5762624" cy="560151"/>
        </a:xfrm>
        <a:noFill/>
        <a:ln>
          <a:noFill/>
        </a:ln>
        <a:effectLst/>
      </dgm:spPr>
      <dgm:t>
        <a:bodyPr/>
        <a:lstStyle/>
        <a:p>
          <a:r>
            <a:rPr lang="fr-FR" sz="1800">
              <a:solidFill>
                <a:srgbClr val="9BBB59">
                  <a:lumMod val="50000"/>
                </a:srgbClr>
              </a:solidFill>
              <a:latin typeface="Calibri"/>
              <a:ea typeface="+mn-ea"/>
              <a:cs typeface="+mn-cs"/>
            </a:rPr>
            <a:t>Répartition des heures insertion par secteur d'activités</a:t>
          </a:r>
        </a:p>
      </dgm:t>
    </dgm:pt>
    <dgm:pt modelId="{ED4210D3-EC5E-4B7E-A7F0-B179BEB22CBA}" type="parTrans" cxnId="{F94758F4-E59A-468E-A2FD-B725FE495672}">
      <dgm:prSet/>
      <dgm:spPr/>
      <dgm:t>
        <a:bodyPr/>
        <a:lstStyle/>
        <a:p>
          <a:endParaRPr lang="fr-FR"/>
        </a:p>
      </dgm:t>
    </dgm:pt>
    <dgm:pt modelId="{E53B5C3F-321D-4077-92F2-628C0951BDD8}" type="sibTrans" cxnId="{F94758F4-E59A-468E-A2FD-B725FE495672}">
      <dgm:prSet/>
      <dgm:spPr/>
      <dgm:t>
        <a:bodyPr/>
        <a:lstStyle/>
        <a:p>
          <a:endParaRPr lang="fr-FR"/>
        </a:p>
      </dgm:t>
    </dgm:pt>
    <dgm:pt modelId="{A23D58FF-31CC-44D8-B1FE-7955960FB969}" type="pres">
      <dgm:prSet presAssocID="{93B12CCA-E787-4286-803D-8D1C66F9271A}" presName="Name0" presStyleCnt="0">
        <dgm:presLayoutVars>
          <dgm:chMax/>
          <dgm:chPref val="3"/>
          <dgm:dir/>
          <dgm:animOne val="branch"/>
          <dgm:animLvl val="lvl"/>
        </dgm:presLayoutVars>
      </dgm:prSet>
      <dgm:spPr/>
      <dgm:t>
        <a:bodyPr/>
        <a:lstStyle/>
        <a:p>
          <a:endParaRPr lang="fr-FR"/>
        </a:p>
      </dgm:t>
    </dgm:pt>
    <dgm:pt modelId="{18E556ED-9B1F-4D8A-98F4-2C131B8BABEC}" type="pres">
      <dgm:prSet presAssocID="{DB0DDD43-3E42-41DD-B160-816BEB4531E5}" presName="composite" presStyleCnt="0"/>
      <dgm:spPr/>
    </dgm:pt>
    <dgm:pt modelId="{3367E8FF-BBEC-44ED-9B45-50233ED21F38}" type="pres">
      <dgm:prSet presAssocID="{DB0DDD43-3E42-41DD-B160-816BEB4531E5}" presName="FirstChild" presStyleLbl="revTx" presStyleIdx="0" presStyleCnt="2" custScaleX="110502" custLinFactNeighborX="-7621" custLinFactNeighborY="-2123">
        <dgm:presLayoutVars>
          <dgm:chMax val="0"/>
          <dgm:chPref val="0"/>
          <dgm:bulletEnabled val="1"/>
        </dgm:presLayoutVars>
      </dgm:prSet>
      <dgm:spPr>
        <a:prstGeom prst="rect">
          <a:avLst/>
        </a:prstGeom>
      </dgm:spPr>
      <dgm:t>
        <a:bodyPr/>
        <a:lstStyle/>
        <a:p>
          <a:endParaRPr lang="fr-FR"/>
        </a:p>
      </dgm:t>
    </dgm:pt>
    <dgm:pt modelId="{247F3F79-6E25-4CA9-8B0E-FAEB3C894FC7}" type="pres">
      <dgm:prSet presAssocID="{DB0DDD43-3E42-41DD-B160-816BEB4531E5}" presName="Parent" presStyleLbl="alignNode1" presStyleIdx="0" presStyleCnt="1" custScaleX="46120" custLinFactNeighborX="-27923">
        <dgm:presLayoutVars>
          <dgm:chMax val="3"/>
          <dgm:chPref val="3"/>
          <dgm:bulletEnabled val="1"/>
        </dgm:presLayoutVars>
      </dgm:prSet>
      <dgm:spPr>
        <a:prstGeom prst="round2SameRect">
          <a:avLst>
            <a:gd name="adj1" fmla="val 16670"/>
            <a:gd name="adj2" fmla="val 0"/>
          </a:avLst>
        </a:prstGeom>
      </dgm:spPr>
      <dgm:t>
        <a:bodyPr/>
        <a:lstStyle/>
        <a:p>
          <a:endParaRPr lang="fr-FR"/>
        </a:p>
      </dgm:t>
    </dgm:pt>
    <dgm:pt modelId="{04B4ABB5-84D6-4E97-93D7-6618614B7D2F}" type="pres">
      <dgm:prSet presAssocID="{DB0DDD43-3E42-41DD-B160-816BEB4531E5}" presName="Accent" presStyleLbl="parChTrans1D1" presStyleIdx="0" presStyleCnt="1" custLinFactNeighborX="1777"/>
      <dgm:spPr>
        <a:xfrm>
          <a:off x="-9558" y="545201"/>
          <a:ext cx="5762624" cy="0"/>
        </a:xfrm>
        <a:prstGeom prst="line">
          <a:avLst/>
        </a:prstGeom>
        <a:noFill/>
        <a:ln w="25400" cap="flat" cmpd="sng" algn="ctr">
          <a:solidFill>
            <a:srgbClr val="9BBB59">
              <a:shade val="60000"/>
              <a:hueOff val="0"/>
              <a:satOff val="0"/>
              <a:lumOff val="0"/>
              <a:alphaOff val="0"/>
            </a:srgbClr>
          </a:solidFill>
          <a:prstDash val="solid"/>
        </a:ln>
        <a:effectLst/>
      </dgm:spPr>
      <dgm:t>
        <a:bodyPr/>
        <a:lstStyle/>
        <a:p>
          <a:endParaRPr lang="fr-FR"/>
        </a:p>
      </dgm:t>
    </dgm:pt>
    <dgm:pt modelId="{E8AB1E02-C604-4BCD-B4C7-395E4A57BD61}" type="pres">
      <dgm:prSet presAssocID="{DB0DDD43-3E42-41DD-B160-816BEB4531E5}" presName="Child" presStyleLbl="revTx" presStyleIdx="1" presStyleCnt="2" custScaleY="67919" custLinFactNeighborY="33912">
        <dgm:presLayoutVars>
          <dgm:chMax val="0"/>
          <dgm:chPref val="0"/>
          <dgm:bulletEnabled val="1"/>
        </dgm:presLayoutVars>
      </dgm:prSet>
      <dgm:spPr>
        <a:prstGeom prst="rect">
          <a:avLst/>
        </a:prstGeom>
      </dgm:spPr>
      <dgm:t>
        <a:bodyPr/>
        <a:lstStyle/>
        <a:p>
          <a:endParaRPr lang="fr-FR"/>
        </a:p>
      </dgm:t>
    </dgm:pt>
  </dgm:ptLst>
  <dgm:cxnLst>
    <dgm:cxn modelId="{1840090F-FCD6-44D9-B5D8-18C650DED1D4}" srcId="{DB0DDD43-3E42-41DD-B160-816BEB4531E5}" destId="{F8435DD9-7E46-409A-ADED-3F8BD61CA0E2}" srcOrd="0" destOrd="0" parTransId="{93A07A27-6C53-401E-A3F2-525C626F1483}" sibTransId="{F2859BC6-84DB-4A77-8D26-EF96EC4285F4}"/>
    <dgm:cxn modelId="{AF0D4245-8210-49DD-9C17-9F90026A91B0}" srcId="{93B12CCA-E787-4286-803D-8D1C66F9271A}" destId="{DB0DDD43-3E42-41DD-B160-816BEB4531E5}" srcOrd="0" destOrd="0" parTransId="{36EEAA6D-E1E3-438A-A1BA-DBEF38459F4B}" sibTransId="{CFFF2C85-6A86-4D98-AC1F-4A15CF5FBD43}"/>
    <dgm:cxn modelId="{F94758F4-E59A-468E-A2FD-B725FE495672}" srcId="{DB0DDD43-3E42-41DD-B160-816BEB4531E5}" destId="{C4A48B8C-7FCC-483E-9E88-41A60A13A77B}" srcOrd="2" destOrd="0" parTransId="{ED4210D3-EC5E-4B7E-A7F0-B179BEB22CBA}" sibTransId="{E53B5C3F-321D-4077-92F2-628C0951BDD8}"/>
    <dgm:cxn modelId="{EAF03907-56DC-458E-B295-A63A5716C0D8}" type="presOf" srcId="{DB0DDD43-3E42-41DD-B160-816BEB4531E5}" destId="{247F3F79-6E25-4CA9-8B0E-FAEB3C894FC7}" srcOrd="0" destOrd="0" presId="urn:microsoft.com/office/officeart/2011/layout/TabList"/>
    <dgm:cxn modelId="{7B22D09C-33DD-4661-9305-78A8D42751A3}" type="presOf" srcId="{C4A48B8C-7FCC-483E-9E88-41A60A13A77B}" destId="{E8AB1E02-C604-4BCD-B4C7-395E4A57BD61}" srcOrd="0" destOrd="1" presId="urn:microsoft.com/office/officeart/2011/layout/TabList"/>
    <dgm:cxn modelId="{A206468E-26A4-4879-B1D7-72C75F23A456}" srcId="{DB0DDD43-3E42-41DD-B160-816BEB4531E5}" destId="{BD38DCE7-F8F9-4F18-8F40-899D9A44141E}" srcOrd="1" destOrd="0" parTransId="{44B7EF97-6BB1-4945-A109-73827DE88747}" sibTransId="{E15AF197-06F6-4A6D-92FD-57C442D8B56D}"/>
    <dgm:cxn modelId="{D4056DCB-7CBE-4B13-9AB9-6E982AA96A71}" type="presOf" srcId="{F8435DD9-7E46-409A-ADED-3F8BD61CA0E2}" destId="{3367E8FF-BBEC-44ED-9B45-50233ED21F38}" srcOrd="0" destOrd="0" presId="urn:microsoft.com/office/officeart/2011/layout/TabList"/>
    <dgm:cxn modelId="{B31F40D6-3DDE-4F64-9360-25879FB22845}" type="presOf" srcId="{93B12CCA-E787-4286-803D-8D1C66F9271A}" destId="{A23D58FF-31CC-44D8-B1FE-7955960FB969}" srcOrd="0" destOrd="0" presId="urn:microsoft.com/office/officeart/2011/layout/TabList"/>
    <dgm:cxn modelId="{4E166DC5-B90D-492A-A730-916F152FFDFA}" type="presOf" srcId="{BD38DCE7-F8F9-4F18-8F40-899D9A44141E}" destId="{E8AB1E02-C604-4BCD-B4C7-395E4A57BD61}" srcOrd="0" destOrd="0" presId="urn:microsoft.com/office/officeart/2011/layout/TabList"/>
    <dgm:cxn modelId="{4D7BD50D-26C4-4540-8B9C-631ED3604A9E}" type="presParOf" srcId="{A23D58FF-31CC-44D8-B1FE-7955960FB969}" destId="{18E556ED-9B1F-4D8A-98F4-2C131B8BABEC}" srcOrd="0" destOrd="0" presId="urn:microsoft.com/office/officeart/2011/layout/TabList"/>
    <dgm:cxn modelId="{A91243F8-E87F-4F04-B3FE-69F5B1976934}" type="presParOf" srcId="{18E556ED-9B1F-4D8A-98F4-2C131B8BABEC}" destId="{3367E8FF-BBEC-44ED-9B45-50233ED21F38}" srcOrd="0" destOrd="0" presId="urn:microsoft.com/office/officeart/2011/layout/TabList"/>
    <dgm:cxn modelId="{60C9ECB2-C559-4953-8182-AC7EFAC53931}" type="presParOf" srcId="{18E556ED-9B1F-4D8A-98F4-2C131B8BABEC}" destId="{247F3F79-6E25-4CA9-8B0E-FAEB3C894FC7}" srcOrd="1" destOrd="0" presId="urn:microsoft.com/office/officeart/2011/layout/TabList"/>
    <dgm:cxn modelId="{66B59196-BC73-4AD3-8B10-B4F42C9907DC}" type="presParOf" srcId="{18E556ED-9B1F-4D8A-98F4-2C131B8BABEC}" destId="{04B4ABB5-84D6-4E97-93D7-6618614B7D2F}" srcOrd="2" destOrd="0" presId="urn:microsoft.com/office/officeart/2011/layout/TabList"/>
    <dgm:cxn modelId="{49D0C35E-A943-4F60-B22C-33AC77235928}" type="presParOf" srcId="{A23D58FF-31CC-44D8-B1FE-7955960FB969}" destId="{E8AB1E02-C604-4BCD-B4C7-395E4A57BD61}" srcOrd="1" destOrd="0" presId="urn:microsoft.com/office/officeart/2011/layout/TabList"/>
  </dgm:cxnLst>
  <dgm:bg/>
  <dgm:whole/>
  <dgm:extLst>
    <a:ext uri="http://schemas.microsoft.com/office/drawing/2008/diagram">
      <dsp:dataModelExt xmlns:dsp="http://schemas.microsoft.com/office/drawing/2008/diagram" xmlns="" relId="rId71"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60D9A13E-F014-494C-B5C5-EE5908B77283}" type="doc">
      <dgm:prSet loTypeId="urn:microsoft.com/office/officeart/2008/layout/PictureAccentList" loCatId="picture" qsTypeId="urn:microsoft.com/office/officeart/2005/8/quickstyle/simple1#11" qsCatId="simple" csTypeId="urn:microsoft.com/office/officeart/2005/8/colors/accent4_2" csCatId="accent4" phldr="1"/>
      <dgm:spPr/>
      <dgm:t>
        <a:bodyPr/>
        <a:lstStyle/>
        <a:p>
          <a:endParaRPr lang="fr-FR"/>
        </a:p>
      </dgm:t>
    </dgm:pt>
    <dgm:pt modelId="{46144A80-48A4-4B0F-9C89-FEF914635B87}">
      <dgm:prSet phldrT="[Texte]" custT="1"/>
      <dgm:spPr>
        <a:xfrm>
          <a:off x="123817" y="0"/>
          <a:ext cx="5829314" cy="819150"/>
        </a:xfrm>
      </dgm:spPr>
      <dgm:t>
        <a:bodyPr/>
        <a:lstStyle/>
        <a:p>
          <a:pPr algn="l"/>
          <a:r>
            <a:rPr lang="fr-FR" sz="2000" baseline="0">
              <a:latin typeface="Calibri"/>
              <a:ea typeface="+mn-ea"/>
              <a:cs typeface="+mn-cs"/>
            </a:rPr>
            <a:t>La mise en oeuvre qualitative des clauses sociales</a:t>
          </a:r>
        </a:p>
      </dgm:t>
    </dgm:pt>
    <dgm:pt modelId="{203A5878-1B55-4FC8-AD38-B32CEF9146A2}" type="parTrans" cxnId="{800DFD3A-67E9-492D-B573-B79E18A71BBF}">
      <dgm:prSet/>
      <dgm:spPr/>
      <dgm:t>
        <a:bodyPr/>
        <a:lstStyle/>
        <a:p>
          <a:endParaRPr lang="fr-FR"/>
        </a:p>
      </dgm:t>
    </dgm:pt>
    <dgm:pt modelId="{820A5FB6-AD4C-4A63-810F-21D7A345D0F0}" type="sibTrans" cxnId="{800DFD3A-67E9-492D-B573-B79E18A71BBF}">
      <dgm:prSet/>
      <dgm:spPr/>
      <dgm:t>
        <a:bodyPr/>
        <a:lstStyle/>
        <a:p>
          <a:endParaRPr lang="fr-FR"/>
        </a:p>
      </dgm:t>
    </dgm:pt>
    <dgm:pt modelId="{2A627C6C-19F8-4FAB-AB77-B90949D074D1}" type="pres">
      <dgm:prSet presAssocID="{60D9A13E-F014-494C-B5C5-EE5908B77283}" presName="layout" presStyleCnt="0">
        <dgm:presLayoutVars>
          <dgm:chMax/>
          <dgm:chPref/>
          <dgm:dir/>
          <dgm:animOne val="branch"/>
          <dgm:animLvl val="lvl"/>
          <dgm:resizeHandles/>
        </dgm:presLayoutVars>
      </dgm:prSet>
      <dgm:spPr/>
      <dgm:t>
        <a:bodyPr/>
        <a:lstStyle/>
        <a:p>
          <a:endParaRPr lang="fr-FR"/>
        </a:p>
      </dgm:t>
    </dgm:pt>
    <dgm:pt modelId="{72F2A48A-495F-4309-B640-E98576DF3E05}" type="pres">
      <dgm:prSet presAssocID="{46144A80-48A4-4B0F-9C89-FEF914635B87}" presName="root" presStyleCnt="0">
        <dgm:presLayoutVars>
          <dgm:chMax/>
          <dgm:chPref val="4"/>
        </dgm:presLayoutVars>
      </dgm:prSet>
      <dgm:spPr/>
      <dgm:t>
        <a:bodyPr/>
        <a:lstStyle/>
        <a:p>
          <a:endParaRPr lang="fr-FR"/>
        </a:p>
      </dgm:t>
    </dgm:pt>
    <dgm:pt modelId="{D1594577-1ECD-4148-B0E7-6E5A22755D19}" type="pres">
      <dgm:prSet presAssocID="{46144A80-48A4-4B0F-9C89-FEF914635B87}" presName="rootComposite" presStyleCnt="0">
        <dgm:presLayoutVars/>
      </dgm:prSet>
      <dgm:spPr/>
      <dgm:t>
        <a:bodyPr/>
        <a:lstStyle/>
        <a:p>
          <a:endParaRPr lang="fr-FR"/>
        </a:p>
      </dgm:t>
    </dgm:pt>
    <dgm:pt modelId="{C20F34A7-B11F-4B7D-A9B0-87E6D0B23646}" type="pres">
      <dgm:prSet presAssocID="{46144A80-48A4-4B0F-9C89-FEF914635B87}" presName="rootText" presStyleLbl="node0" presStyleIdx="0" presStyleCnt="1" custScaleX="95925" custScaleY="400000">
        <dgm:presLayoutVars>
          <dgm:chMax/>
          <dgm:chPref val="4"/>
        </dgm:presLayoutVars>
      </dgm:prSet>
      <dgm:spPr>
        <a:prstGeom prst="roundRect">
          <a:avLst>
            <a:gd name="adj" fmla="val 10000"/>
          </a:avLst>
        </a:prstGeom>
      </dgm:spPr>
      <dgm:t>
        <a:bodyPr/>
        <a:lstStyle/>
        <a:p>
          <a:endParaRPr lang="fr-FR"/>
        </a:p>
      </dgm:t>
    </dgm:pt>
    <dgm:pt modelId="{6D34F6D7-AC63-4373-B2F1-467E75185EC3}" type="pres">
      <dgm:prSet presAssocID="{46144A80-48A4-4B0F-9C89-FEF914635B87}" presName="childShape" presStyleCnt="0">
        <dgm:presLayoutVars>
          <dgm:chMax val="0"/>
          <dgm:chPref val="0"/>
        </dgm:presLayoutVars>
      </dgm:prSet>
      <dgm:spPr/>
      <dgm:t>
        <a:bodyPr/>
        <a:lstStyle/>
        <a:p>
          <a:endParaRPr lang="fr-FR"/>
        </a:p>
      </dgm:t>
    </dgm:pt>
  </dgm:ptLst>
  <dgm:cxnLst>
    <dgm:cxn modelId="{31058053-5338-4954-9654-B3E64613FFFB}" type="presOf" srcId="{60D9A13E-F014-494C-B5C5-EE5908B77283}" destId="{2A627C6C-19F8-4FAB-AB77-B90949D074D1}" srcOrd="0" destOrd="0" presId="urn:microsoft.com/office/officeart/2008/layout/PictureAccentList"/>
    <dgm:cxn modelId="{DC5730BD-6953-4FE7-B4BB-EA2909370AE9}" type="presOf" srcId="{46144A80-48A4-4B0F-9C89-FEF914635B87}" destId="{C20F34A7-B11F-4B7D-A9B0-87E6D0B23646}" srcOrd="0" destOrd="0" presId="urn:microsoft.com/office/officeart/2008/layout/PictureAccentList"/>
    <dgm:cxn modelId="{800DFD3A-67E9-492D-B573-B79E18A71BBF}" srcId="{60D9A13E-F014-494C-B5C5-EE5908B77283}" destId="{46144A80-48A4-4B0F-9C89-FEF914635B87}" srcOrd="0" destOrd="0" parTransId="{203A5878-1B55-4FC8-AD38-B32CEF9146A2}" sibTransId="{820A5FB6-AD4C-4A63-810F-21D7A345D0F0}"/>
    <dgm:cxn modelId="{8967AFA4-100C-4DD4-8BD7-AE31BFE1A21E}" type="presParOf" srcId="{2A627C6C-19F8-4FAB-AB77-B90949D074D1}" destId="{72F2A48A-495F-4309-B640-E98576DF3E05}" srcOrd="0" destOrd="0" presId="urn:microsoft.com/office/officeart/2008/layout/PictureAccentList"/>
    <dgm:cxn modelId="{AFBCCFF9-BB9B-4CC2-B736-61112E4C37A7}" type="presParOf" srcId="{72F2A48A-495F-4309-B640-E98576DF3E05}" destId="{D1594577-1ECD-4148-B0E7-6E5A22755D19}" srcOrd="0" destOrd="0" presId="urn:microsoft.com/office/officeart/2008/layout/PictureAccentList"/>
    <dgm:cxn modelId="{670814A0-2F76-4C2B-BFC5-A930FFCBF26E}" type="presParOf" srcId="{D1594577-1ECD-4148-B0E7-6E5A22755D19}" destId="{C20F34A7-B11F-4B7D-A9B0-87E6D0B23646}" srcOrd="0" destOrd="0" presId="urn:microsoft.com/office/officeart/2008/layout/PictureAccentList"/>
    <dgm:cxn modelId="{F37E679D-97CB-43F9-A90F-3FB0B492B388}" type="presParOf" srcId="{72F2A48A-495F-4309-B640-E98576DF3E05}" destId="{6D34F6D7-AC63-4373-B2F1-467E75185EC3}" srcOrd="1" destOrd="0" presId="urn:microsoft.com/office/officeart/2008/layout/PictureAccentList"/>
  </dgm:cxnLst>
  <dgm:bg/>
  <dgm:whole/>
  <dgm:extLst>
    <a:ext uri="http://schemas.microsoft.com/office/drawing/2008/diagram">
      <dsp:dataModelExt xmlns:dsp="http://schemas.microsoft.com/office/drawing/2008/diagram" xmlns="" relId="rId77"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93B12CCA-E787-4286-803D-8D1C66F9271A}" type="doc">
      <dgm:prSet loTypeId="urn:microsoft.com/office/officeart/2011/layout/TabList" loCatId="officeonline" qsTypeId="urn:microsoft.com/office/officeart/2005/8/quickstyle/simple1#12" qsCatId="simple" csTypeId="urn:microsoft.com/office/officeart/2005/8/colors/accent4_2" csCatId="accent4" phldr="1"/>
      <dgm:spPr/>
      <dgm:t>
        <a:bodyPr/>
        <a:lstStyle/>
        <a:p>
          <a:endParaRPr lang="fr-FR"/>
        </a:p>
      </dgm:t>
    </dgm:pt>
    <dgm:pt modelId="{DB0DDD43-3E42-41DD-B160-816BEB4531E5}">
      <dgm:prSet phldrT="[Texte]"/>
      <dgm:spPr>
        <a:xfrm>
          <a:off x="7" y="0"/>
          <a:ext cx="676844" cy="368263"/>
        </a:xfrm>
      </dgm:spPr>
      <dgm:t>
        <a:bodyPr/>
        <a:lstStyle/>
        <a:p>
          <a:endParaRPr lang="fr-FR">
            <a:solidFill>
              <a:sysClr val="window" lastClr="FFFFFF"/>
            </a:solidFill>
            <a:latin typeface="Calibri"/>
            <a:ea typeface="+mn-ea"/>
            <a:cs typeface="+mn-cs"/>
          </a:endParaRPr>
        </a:p>
      </dgm:t>
    </dgm:pt>
    <dgm:pt modelId="{36EEAA6D-E1E3-438A-A1BA-DBEF38459F4B}" type="parTrans" cxnId="{AF0D4245-8210-49DD-9C17-9F90026A91B0}">
      <dgm:prSet/>
      <dgm:spPr/>
      <dgm:t>
        <a:bodyPr/>
        <a:lstStyle/>
        <a:p>
          <a:endParaRPr lang="fr-FR"/>
        </a:p>
      </dgm:t>
    </dgm:pt>
    <dgm:pt modelId="{CFFF2C85-6A86-4D98-AC1F-4A15CF5FBD43}" type="sibTrans" cxnId="{AF0D4245-8210-49DD-9C17-9F90026A91B0}">
      <dgm:prSet/>
      <dgm:spPr/>
      <dgm:t>
        <a:bodyPr/>
        <a:lstStyle/>
        <a:p>
          <a:endParaRPr lang="fr-FR"/>
        </a:p>
      </dgm:t>
    </dgm:pt>
    <dgm:pt modelId="{F8435DD9-7E46-409A-ADED-3F8BD61CA0E2}">
      <dgm:prSet phldrT="[Texte]" custT="1"/>
      <dgm:spPr>
        <a:xfrm>
          <a:off x="961441" y="0"/>
          <a:ext cx="4363021" cy="368263"/>
        </a:xfrm>
      </dgm:spPr>
      <dgm:t>
        <a:bodyPr/>
        <a:lstStyle/>
        <a:p>
          <a:r>
            <a:rPr lang="fr-FR" sz="1900">
              <a:latin typeface="Calibri"/>
              <a:ea typeface="+mn-ea"/>
              <a:cs typeface="+mn-cs"/>
            </a:rPr>
            <a:t>Les publics bénéficiaires de la clause</a:t>
          </a:r>
        </a:p>
      </dgm:t>
    </dgm:pt>
    <dgm:pt modelId="{93A07A27-6C53-401E-A3F2-525C626F1483}" type="parTrans" cxnId="{1840090F-FCD6-44D9-B5D8-18C650DED1D4}">
      <dgm:prSet/>
      <dgm:spPr/>
      <dgm:t>
        <a:bodyPr/>
        <a:lstStyle/>
        <a:p>
          <a:endParaRPr lang="fr-FR"/>
        </a:p>
      </dgm:t>
    </dgm:pt>
    <dgm:pt modelId="{F2859BC6-84DB-4A77-8D26-EF96EC4285F4}" type="sibTrans" cxnId="{1840090F-FCD6-44D9-B5D8-18C650DED1D4}">
      <dgm:prSet/>
      <dgm:spPr/>
      <dgm:t>
        <a:bodyPr/>
        <a:lstStyle/>
        <a:p>
          <a:endParaRPr lang="fr-FR"/>
        </a:p>
      </dgm:t>
    </dgm:pt>
    <dgm:pt modelId="{BD38DCE7-F8F9-4F18-8F40-899D9A44141E}">
      <dgm:prSet phldrT="[Texte]"/>
      <dgm:spPr>
        <a:xfrm>
          <a:off x="0" y="368263"/>
          <a:ext cx="5895975" cy="736636"/>
        </a:xfrm>
      </dgm:spPr>
      <dgm:t>
        <a:bodyPr/>
        <a:lstStyle/>
        <a:p>
          <a:endParaRPr lang="fr-FR" sz="1600">
            <a:solidFill>
              <a:sysClr val="windowText" lastClr="000000">
                <a:hueOff val="0"/>
                <a:satOff val="0"/>
                <a:lumOff val="0"/>
                <a:alphaOff val="0"/>
              </a:sysClr>
            </a:solidFill>
            <a:latin typeface="Calibri"/>
            <a:ea typeface="+mn-ea"/>
            <a:cs typeface="+mn-cs"/>
          </a:endParaRPr>
        </a:p>
      </dgm:t>
    </dgm:pt>
    <dgm:pt modelId="{44B7EF97-6BB1-4945-A109-73827DE88747}" type="parTrans" cxnId="{A206468E-26A4-4879-B1D7-72C75F23A456}">
      <dgm:prSet/>
      <dgm:spPr/>
      <dgm:t>
        <a:bodyPr/>
        <a:lstStyle/>
        <a:p>
          <a:endParaRPr lang="fr-FR"/>
        </a:p>
      </dgm:t>
    </dgm:pt>
    <dgm:pt modelId="{E15AF197-06F6-4A6D-92FD-57C442D8B56D}" type="sibTrans" cxnId="{A206468E-26A4-4879-B1D7-72C75F23A456}">
      <dgm:prSet/>
      <dgm:spPr/>
      <dgm:t>
        <a:bodyPr/>
        <a:lstStyle/>
        <a:p>
          <a:endParaRPr lang="fr-FR"/>
        </a:p>
      </dgm:t>
    </dgm:pt>
    <dgm:pt modelId="{C4A48B8C-7FCC-483E-9E88-41A60A13A77B}">
      <dgm:prSet phldrT="[Texte]" custT="1"/>
      <dgm:spPr>
        <a:xfrm>
          <a:off x="0" y="368263"/>
          <a:ext cx="5895975" cy="736636"/>
        </a:xfrm>
      </dgm:spPr>
      <dgm:t>
        <a:bodyPr/>
        <a:lstStyle/>
        <a:p>
          <a:r>
            <a:rPr lang="fr-FR" sz="1800" baseline="0">
              <a:solidFill>
                <a:schemeClr val="accent4">
                  <a:lumMod val="75000"/>
                </a:schemeClr>
              </a:solidFill>
              <a:latin typeface="Calibri"/>
              <a:ea typeface="+mn-ea"/>
              <a:cs typeface="+mn-cs"/>
            </a:rPr>
            <a:t>Les chiffres clés en 2012</a:t>
          </a:r>
        </a:p>
      </dgm:t>
    </dgm:pt>
    <dgm:pt modelId="{ED4210D3-EC5E-4B7E-A7F0-B179BEB22CBA}" type="parTrans" cxnId="{F94758F4-E59A-468E-A2FD-B725FE495672}">
      <dgm:prSet/>
      <dgm:spPr/>
      <dgm:t>
        <a:bodyPr/>
        <a:lstStyle/>
        <a:p>
          <a:endParaRPr lang="fr-FR"/>
        </a:p>
      </dgm:t>
    </dgm:pt>
    <dgm:pt modelId="{E53B5C3F-321D-4077-92F2-628C0951BDD8}" type="sibTrans" cxnId="{F94758F4-E59A-468E-A2FD-B725FE495672}">
      <dgm:prSet/>
      <dgm:spPr/>
      <dgm:t>
        <a:bodyPr/>
        <a:lstStyle/>
        <a:p>
          <a:endParaRPr lang="fr-FR"/>
        </a:p>
      </dgm:t>
    </dgm:pt>
    <dgm:pt modelId="{A23D58FF-31CC-44D8-B1FE-7955960FB969}" type="pres">
      <dgm:prSet presAssocID="{93B12CCA-E787-4286-803D-8D1C66F9271A}" presName="Name0" presStyleCnt="0">
        <dgm:presLayoutVars>
          <dgm:chMax/>
          <dgm:chPref val="3"/>
          <dgm:dir/>
          <dgm:animOne val="branch"/>
          <dgm:animLvl val="lvl"/>
        </dgm:presLayoutVars>
      </dgm:prSet>
      <dgm:spPr/>
      <dgm:t>
        <a:bodyPr/>
        <a:lstStyle/>
        <a:p>
          <a:endParaRPr lang="fr-FR"/>
        </a:p>
      </dgm:t>
    </dgm:pt>
    <dgm:pt modelId="{18E556ED-9B1F-4D8A-98F4-2C131B8BABEC}" type="pres">
      <dgm:prSet presAssocID="{DB0DDD43-3E42-41DD-B160-816BEB4531E5}" presName="composite" presStyleCnt="0"/>
      <dgm:spPr/>
      <dgm:t>
        <a:bodyPr/>
        <a:lstStyle/>
        <a:p>
          <a:endParaRPr lang="fr-FR"/>
        </a:p>
      </dgm:t>
    </dgm:pt>
    <dgm:pt modelId="{3367E8FF-BBEC-44ED-9B45-50233ED21F38}" type="pres">
      <dgm:prSet presAssocID="{DB0DDD43-3E42-41DD-B160-816BEB4531E5}" presName="FirstChild" presStyleLbl="revTx" presStyleIdx="0" presStyleCnt="2" custLinFactNeighborX="-13099">
        <dgm:presLayoutVars>
          <dgm:chMax val="0"/>
          <dgm:chPref val="0"/>
          <dgm:bulletEnabled val="1"/>
        </dgm:presLayoutVars>
      </dgm:prSet>
      <dgm:spPr>
        <a:prstGeom prst="rect">
          <a:avLst/>
        </a:prstGeom>
      </dgm:spPr>
      <dgm:t>
        <a:bodyPr/>
        <a:lstStyle/>
        <a:p>
          <a:endParaRPr lang="fr-FR"/>
        </a:p>
      </dgm:t>
    </dgm:pt>
    <dgm:pt modelId="{247F3F79-6E25-4CA9-8B0E-FAEB3C894FC7}" type="pres">
      <dgm:prSet presAssocID="{DB0DDD43-3E42-41DD-B160-816BEB4531E5}" presName="Parent" presStyleLbl="alignNode1" presStyleIdx="0" presStyleCnt="1" custScaleX="44153" custLinFactNeighborX="-27923">
        <dgm:presLayoutVars>
          <dgm:chMax val="3"/>
          <dgm:chPref val="3"/>
          <dgm:bulletEnabled val="1"/>
        </dgm:presLayoutVars>
      </dgm:prSet>
      <dgm:spPr>
        <a:prstGeom prst="round2SameRect">
          <a:avLst>
            <a:gd name="adj1" fmla="val 16670"/>
            <a:gd name="adj2" fmla="val 0"/>
          </a:avLst>
        </a:prstGeom>
      </dgm:spPr>
      <dgm:t>
        <a:bodyPr/>
        <a:lstStyle/>
        <a:p>
          <a:endParaRPr lang="fr-FR"/>
        </a:p>
      </dgm:t>
    </dgm:pt>
    <dgm:pt modelId="{04B4ABB5-84D6-4E97-93D7-6618614B7D2F}" type="pres">
      <dgm:prSet presAssocID="{DB0DDD43-3E42-41DD-B160-816BEB4531E5}" presName="Accent" presStyleLbl="parChTrans1D1" presStyleIdx="0" presStyleCnt="1"/>
      <dgm:spPr>
        <a:xfrm>
          <a:off x="0" y="368263"/>
          <a:ext cx="5895975" cy="0"/>
        </a:xfrm>
        <a:prstGeom prst="line">
          <a:avLst/>
        </a:prstGeom>
      </dgm:spPr>
      <dgm:t>
        <a:bodyPr/>
        <a:lstStyle/>
        <a:p>
          <a:endParaRPr lang="fr-FR"/>
        </a:p>
      </dgm:t>
    </dgm:pt>
    <dgm:pt modelId="{E8AB1E02-C604-4BCD-B4C7-395E4A57BD61}" type="pres">
      <dgm:prSet presAssocID="{DB0DDD43-3E42-41DD-B160-816BEB4531E5}" presName="Child" presStyleLbl="revTx" presStyleIdx="1" presStyleCnt="2">
        <dgm:presLayoutVars>
          <dgm:chMax val="0"/>
          <dgm:chPref val="0"/>
          <dgm:bulletEnabled val="1"/>
        </dgm:presLayoutVars>
      </dgm:prSet>
      <dgm:spPr>
        <a:prstGeom prst="rect">
          <a:avLst/>
        </a:prstGeom>
      </dgm:spPr>
      <dgm:t>
        <a:bodyPr/>
        <a:lstStyle/>
        <a:p>
          <a:endParaRPr lang="fr-FR"/>
        </a:p>
      </dgm:t>
    </dgm:pt>
  </dgm:ptLst>
  <dgm:cxnLst>
    <dgm:cxn modelId="{1840090F-FCD6-44D9-B5D8-18C650DED1D4}" srcId="{DB0DDD43-3E42-41DD-B160-816BEB4531E5}" destId="{F8435DD9-7E46-409A-ADED-3F8BD61CA0E2}" srcOrd="0" destOrd="0" parTransId="{93A07A27-6C53-401E-A3F2-525C626F1483}" sibTransId="{F2859BC6-84DB-4A77-8D26-EF96EC4285F4}"/>
    <dgm:cxn modelId="{233131D8-704C-4659-B54A-E4A85F2BC0A5}" type="presOf" srcId="{F8435DD9-7E46-409A-ADED-3F8BD61CA0E2}" destId="{3367E8FF-BBEC-44ED-9B45-50233ED21F38}" srcOrd="0" destOrd="0" presId="urn:microsoft.com/office/officeart/2011/layout/TabList"/>
    <dgm:cxn modelId="{AF0D4245-8210-49DD-9C17-9F90026A91B0}" srcId="{93B12CCA-E787-4286-803D-8D1C66F9271A}" destId="{DB0DDD43-3E42-41DD-B160-816BEB4531E5}" srcOrd="0" destOrd="0" parTransId="{36EEAA6D-E1E3-438A-A1BA-DBEF38459F4B}" sibTransId="{CFFF2C85-6A86-4D98-AC1F-4A15CF5FBD43}"/>
    <dgm:cxn modelId="{F94758F4-E59A-468E-A2FD-B725FE495672}" srcId="{DB0DDD43-3E42-41DD-B160-816BEB4531E5}" destId="{C4A48B8C-7FCC-483E-9E88-41A60A13A77B}" srcOrd="2" destOrd="0" parTransId="{ED4210D3-EC5E-4B7E-A7F0-B179BEB22CBA}" sibTransId="{E53B5C3F-321D-4077-92F2-628C0951BDD8}"/>
    <dgm:cxn modelId="{A66535D3-207A-4573-9BAF-943A860406C7}" type="presOf" srcId="{C4A48B8C-7FCC-483E-9E88-41A60A13A77B}" destId="{E8AB1E02-C604-4BCD-B4C7-395E4A57BD61}" srcOrd="0" destOrd="1" presId="urn:microsoft.com/office/officeart/2011/layout/TabList"/>
    <dgm:cxn modelId="{D1B24D9C-820D-47B9-B74A-0ED1895DAAC4}" type="presOf" srcId="{BD38DCE7-F8F9-4F18-8F40-899D9A44141E}" destId="{E8AB1E02-C604-4BCD-B4C7-395E4A57BD61}" srcOrd="0" destOrd="0" presId="urn:microsoft.com/office/officeart/2011/layout/TabList"/>
    <dgm:cxn modelId="{A206468E-26A4-4879-B1D7-72C75F23A456}" srcId="{DB0DDD43-3E42-41DD-B160-816BEB4531E5}" destId="{BD38DCE7-F8F9-4F18-8F40-899D9A44141E}" srcOrd="1" destOrd="0" parTransId="{44B7EF97-6BB1-4945-A109-73827DE88747}" sibTransId="{E15AF197-06F6-4A6D-92FD-57C442D8B56D}"/>
    <dgm:cxn modelId="{7A12F441-F223-4A2F-B48B-83EB7111362C}" type="presOf" srcId="{93B12CCA-E787-4286-803D-8D1C66F9271A}" destId="{A23D58FF-31CC-44D8-B1FE-7955960FB969}" srcOrd="0" destOrd="0" presId="urn:microsoft.com/office/officeart/2011/layout/TabList"/>
    <dgm:cxn modelId="{F4979B8F-5DB5-4E66-B333-2B14F280EC59}" type="presOf" srcId="{DB0DDD43-3E42-41DD-B160-816BEB4531E5}" destId="{247F3F79-6E25-4CA9-8B0E-FAEB3C894FC7}" srcOrd="0" destOrd="0" presId="urn:microsoft.com/office/officeart/2011/layout/TabList"/>
    <dgm:cxn modelId="{E3CC685A-67C2-455B-9C37-93AD5465F049}" type="presParOf" srcId="{A23D58FF-31CC-44D8-B1FE-7955960FB969}" destId="{18E556ED-9B1F-4D8A-98F4-2C131B8BABEC}" srcOrd="0" destOrd="0" presId="urn:microsoft.com/office/officeart/2011/layout/TabList"/>
    <dgm:cxn modelId="{C8FE5130-2402-49A4-8518-A25AE3CB3581}" type="presParOf" srcId="{18E556ED-9B1F-4D8A-98F4-2C131B8BABEC}" destId="{3367E8FF-BBEC-44ED-9B45-50233ED21F38}" srcOrd="0" destOrd="0" presId="urn:microsoft.com/office/officeart/2011/layout/TabList"/>
    <dgm:cxn modelId="{631F00E6-758D-4C13-B79D-845784FBBD60}" type="presParOf" srcId="{18E556ED-9B1F-4D8A-98F4-2C131B8BABEC}" destId="{247F3F79-6E25-4CA9-8B0E-FAEB3C894FC7}" srcOrd="1" destOrd="0" presId="urn:microsoft.com/office/officeart/2011/layout/TabList"/>
    <dgm:cxn modelId="{A2F39B5D-AA13-4C7F-AE48-72995AD58D1A}" type="presParOf" srcId="{18E556ED-9B1F-4D8A-98F4-2C131B8BABEC}" destId="{04B4ABB5-84D6-4E97-93D7-6618614B7D2F}" srcOrd="2" destOrd="0" presId="urn:microsoft.com/office/officeart/2011/layout/TabList"/>
    <dgm:cxn modelId="{CB4F9AC4-5153-40E2-94A9-C41D817E216A}" type="presParOf" srcId="{A23D58FF-31CC-44D8-B1FE-7955960FB969}" destId="{E8AB1E02-C604-4BCD-B4C7-395E4A57BD61}" srcOrd="1" destOrd="0" presId="urn:microsoft.com/office/officeart/2011/layout/TabList"/>
  </dgm:cxnLst>
  <dgm:bg/>
  <dgm:whole/>
  <dgm:extLst>
    <a:ext uri="http://schemas.microsoft.com/office/drawing/2008/diagram">
      <dsp:dataModelExt xmlns:dsp="http://schemas.microsoft.com/office/drawing/2008/diagram" xmlns="" relId="rId82"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93B12CCA-E787-4286-803D-8D1C66F9271A}" type="doc">
      <dgm:prSet loTypeId="urn:microsoft.com/office/officeart/2011/layout/TabList" loCatId="officeonline" qsTypeId="urn:microsoft.com/office/officeart/2005/8/quickstyle/simple1#13" qsCatId="simple" csTypeId="urn:microsoft.com/office/officeart/2005/8/colors/accent1_2#1" csCatId="accent1" phldr="1"/>
      <dgm:spPr/>
      <dgm:t>
        <a:bodyPr/>
        <a:lstStyle/>
        <a:p>
          <a:endParaRPr lang="fr-FR"/>
        </a:p>
      </dgm:t>
    </dgm:pt>
    <dgm:pt modelId="{DB0DDD43-3E42-41DD-B160-816BEB4531E5}">
      <dgm:prSet phldrT="[Texte]"/>
      <dgm:spPr>
        <a:xfrm>
          <a:off x="9518" y="123825"/>
          <a:ext cx="674658" cy="349309"/>
        </a:xfrm>
        <a:solidFill>
          <a:schemeClr val="accent6"/>
        </a:solidFill>
        <a:ln w="25400" cap="flat" cmpd="sng" algn="ctr">
          <a:solidFill>
            <a:schemeClr val="accent6"/>
          </a:solidFill>
          <a:prstDash val="solid"/>
        </a:ln>
        <a:effectLst/>
      </dgm:spPr>
      <dgm:t>
        <a:bodyPr/>
        <a:lstStyle/>
        <a:p>
          <a:endParaRPr lang="fr-FR">
            <a:solidFill>
              <a:sysClr val="window" lastClr="FFFFFF"/>
            </a:solidFill>
            <a:latin typeface="Calibri"/>
            <a:ea typeface="+mn-ea"/>
            <a:cs typeface="+mn-cs"/>
          </a:endParaRPr>
        </a:p>
      </dgm:t>
    </dgm:pt>
    <dgm:pt modelId="{36EEAA6D-E1E3-438A-A1BA-DBEF38459F4B}" type="parTrans" cxnId="{AF0D4245-8210-49DD-9C17-9F90026A91B0}">
      <dgm:prSet/>
      <dgm:spPr/>
      <dgm:t>
        <a:bodyPr/>
        <a:lstStyle/>
        <a:p>
          <a:endParaRPr lang="fr-FR"/>
        </a:p>
      </dgm:t>
    </dgm:pt>
    <dgm:pt modelId="{CFFF2C85-6A86-4D98-AC1F-4A15CF5FBD43}" type="sibTrans" cxnId="{AF0D4245-8210-49DD-9C17-9F90026A91B0}">
      <dgm:prSet/>
      <dgm:spPr/>
      <dgm:t>
        <a:bodyPr/>
        <a:lstStyle/>
        <a:p>
          <a:endParaRPr lang="fr-FR"/>
        </a:p>
      </dgm:t>
    </dgm:pt>
    <dgm:pt modelId="{F8435DD9-7E46-409A-ADED-3F8BD61CA0E2}">
      <dgm:prSet phldrT="[Texte]" custT="1"/>
      <dgm:spPr>
        <a:xfrm>
          <a:off x="863724" y="95249"/>
          <a:ext cx="4805648" cy="367674"/>
        </a:xfrm>
        <a:noFill/>
        <a:ln>
          <a:noFill/>
        </a:ln>
        <a:effectLst/>
      </dgm:spPr>
      <dgm:t>
        <a:bodyPr/>
        <a:lstStyle/>
        <a:p>
          <a:r>
            <a:rPr lang="fr-FR" sz="1800">
              <a:solidFill>
                <a:sysClr val="windowText" lastClr="000000">
                  <a:hueOff val="0"/>
                  <a:satOff val="0"/>
                  <a:lumOff val="0"/>
                  <a:alphaOff val="0"/>
                </a:sysClr>
              </a:solidFill>
              <a:latin typeface="Calibri"/>
              <a:ea typeface="+mn-ea"/>
              <a:cs typeface="+mn-cs"/>
            </a:rPr>
            <a:t>Situation des bénéficiaires au sortir du dispositif clause </a:t>
          </a:r>
        </a:p>
      </dgm:t>
    </dgm:pt>
    <dgm:pt modelId="{93A07A27-6C53-401E-A3F2-525C626F1483}" type="parTrans" cxnId="{1840090F-FCD6-44D9-B5D8-18C650DED1D4}">
      <dgm:prSet/>
      <dgm:spPr/>
      <dgm:t>
        <a:bodyPr/>
        <a:lstStyle/>
        <a:p>
          <a:endParaRPr lang="fr-FR"/>
        </a:p>
      </dgm:t>
    </dgm:pt>
    <dgm:pt modelId="{F2859BC6-84DB-4A77-8D26-EF96EC4285F4}" type="sibTrans" cxnId="{1840090F-FCD6-44D9-B5D8-18C650DED1D4}">
      <dgm:prSet/>
      <dgm:spPr/>
      <dgm:t>
        <a:bodyPr/>
        <a:lstStyle/>
        <a:p>
          <a:endParaRPr lang="fr-FR"/>
        </a:p>
      </dgm:t>
    </dgm:pt>
    <dgm:pt modelId="{BD38DCE7-F8F9-4F18-8F40-899D9A44141E}">
      <dgm:prSet phldrT="[Texte]"/>
      <dgm:spPr>
        <a:xfrm flipV="1">
          <a:off x="0" y="520417"/>
          <a:ext cx="5876925" cy="31688"/>
        </a:xfrm>
        <a:noFill/>
        <a:ln>
          <a:noFill/>
        </a:ln>
        <a:effectLst/>
      </dgm:spPr>
      <dgm:t>
        <a:bodyPr/>
        <a:lstStyle/>
        <a:p>
          <a:endParaRPr lang="fr-FR" sz="1600">
            <a:solidFill>
              <a:sysClr val="windowText" lastClr="000000">
                <a:hueOff val="0"/>
                <a:satOff val="0"/>
                <a:lumOff val="0"/>
                <a:alphaOff val="0"/>
              </a:sysClr>
            </a:solidFill>
            <a:latin typeface="Calibri"/>
            <a:ea typeface="+mn-ea"/>
            <a:cs typeface="+mn-cs"/>
          </a:endParaRPr>
        </a:p>
      </dgm:t>
    </dgm:pt>
    <dgm:pt modelId="{44B7EF97-6BB1-4945-A109-73827DE88747}" type="parTrans" cxnId="{A206468E-26A4-4879-B1D7-72C75F23A456}">
      <dgm:prSet/>
      <dgm:spPr/>
      <dgm:t>
        <a:bodyPr/>
        <a:lstStyle/>
        <a:p>
          <a:endParaRPr lang="fr-FR"/>
        </a:p>
      </dgm:t>
    </dgm:pt>
    <dgm:pt modelId="{E15AF197-06F6-4A6D-92FD-57C442D8B56D}" type="sibTrans" cxnId="{A206468E-26A4-4879-B1D7-72C75F23A456}">
      <dgm:prSet/>
      <dgm:spPr/>
      <dgm:t>
        <a:bodyPr/>
        <a:lstStyle/>
        <a:p>
          <a:endParaRPr lang="fr-FR"/>
        </a:p>
      </dgm:t>
    </dgm:pt>
    <dgm:pt modelId="{A23D58FF-31CC-44D8-B1FE-7955960FB969}" type="pres">
      <dgm:prSet presAssocID="{93B12CCA-E787-4286-803D-8D1C66F9271A}" presName="Name0" presStyleCnt="0">
        <dgm:presLayoutVars>
          <dgm:chMax/>
          <dgm:chPref val="3"/>
          <dgm:dir/>
          <dgm:animOne val="branch"/>
          <dgm:animLvl val="lvl"/>
        </dgm:presLayoutVars>
      </dgm:prSet>
      <dgm:spPr/>
      <dgm:t>
        <a:bodyPr/>
        <a:lstStyle/>
        <a:p>
          <a:endParaRPr lang="fr-FR"/>
        </a:p>
      </dgm:t>
    </dgm:pt>
    <dgm:pt modelId="{18E556ED-9B1F-4D8A-98F4-2C131B8BABEC}" type="pres">
      <dgm:prSet presAssocID="{DB0DDD43-3E42-41DD-B160-816BEB4531E5}" presName="composite" presStyleCnt="0"/>
      <dgm:spPr/>
      <dgm:t>
        <a:bodyPr/>
        <a:lstStyle/>
        <a:p>
          <a:endParaRPr lang="fr-FR"/>
        </a:p>
      </dgm:t>
    </dgm:pt>
    <dgm:pt modelId="{3367E8FF-BBEC-44ED-9B45-50233ED21F38}" type="pres">
      <dgm:prSet presAssocID="{DB0DDD43-3E42-41DD-B160-816BEB4531E5}" presName="FirstChild" presStyleLbl="revTx" presStyleIdx="0" presStyleCnt="2" custScaleX="124317" custScaleY="156659" custLinFactNeighborX="928" custLinFactNeighborY="-36839">
        <dgm:presLayoutVars>
          <dgm:chMax val="0"/>
          <dgm:chPref val="0"/>
          <dgm:bulletEnabled val="1"/>
        </dgm:presLayoutVars>
      </dgm:prSet>
      <dgm:spPr>
        <a:prstGeom prst="rect">
          <a:avLst/>
        </a:prstGeom>
      </dgm:spPr>
      <dgm:t>
        <a:bodyPr/>
        <a:lstStyle/>
        <a:p>
          <a:endParaRPr lang="fr-FR"/>
        </a:p>
      </dgm:t>
    </dgm:pt>
    <dgm:pt modelId="{247F3F79-6E25-4CA9-8B0E-FAEB3C894FC7}" type="pres">
      <dgm:prSet presAssocID="{DB0DDD43-3E42-41DD-B160-816BEB4531E5}" presName="Parent" presStyleLbl="alignNode1" presStyleIdx="0" presStyleCnt="1" custScaleX="44153" custScaleY="148834" custLinFactNeighborX="-19828" custLinFactNeighborY="-16234">
        <dgm:presLayoutVars>
          <dgm:chMax val="3"/>
          <dgm:chPref val="3"/>
          <dgm:bulletEnabled val="1"/>
        </dgm:presLayoutVars>
      </dgm:prSet>
      <dgm:spPr>
        <a:prstGeom prst="round2SameRect">
          <a:avLst>
            <a:gd name="adj1" fmla="val 16670"/>
            <a:gd name="adj2" fmla="val 0"/>
          </a:avLst>
        </a:prstGeom>
      </dgm:spPr>
      <dgm:t>
        <a:bodyPr/>
        <a:lstStyle/>
        <a:p>
          <a:endParaRPr lang="fr-FR"/>
        </a:p>
      </dgm:t>
    </dgm:pt>
    <dgm:pt modelId="{04B4ABB5-84D6-4E97-93D7-6618614B7D2F}" type="pres">
      <dgm:prSet presAssocID="{DB0DDD43-3E42-41DD-B160-816BEB4531E5}" presName="Accent" presStyleLbl="parChTrans1D1" presStyleIdx="0" presStyleCnt="1" custLinFactNeighborX="3402" custLinFactNeighborY="26458"/>
      <dgm:spPr>
        <a:xfrm>
          <a:off x="0" y="463453"/>
          <a:ext cx="5876925" cy="0"/>
        </a:xfrm>
        <a:prstGeom prst="line">
          <a:avLst/>
        </a:prstGeom>
        <a:noFill/>
        <a:ln w="25400" cap="flat" cmpd="sng" algn="ctr">
          <a:solidFill>
            <a:schemeClr val="accent6"/>
          </a:solidFill>
          <a:prstDash val="solid"/>
        </a:ln>
        <a:effectLst/>
      </dgm:spPr>
      <dgm:t>
        <a:bodyPr/>
        <a:lstStyle/>
        <a:p>
          <a:endParaRPr lang="fr-FR"/>
        </a:p>
      </dgm:t>
    </dgm:pt>
    <dgm:pt modelId="{E8AB1E02-C604-4BCD-B4C7-395E4A57BD61}" type="pres">
      <dgm:prSet presAssocID="{DB0DDD43-3E42-41DD-B160-816BEB4531E5}" presName="Child" presStyleLbl="revTx" presStyleIdx="1" presStyleCnt="2" custFlipVert="1" custScaleY="6750">
        <dgm:presLayoutVars>
          <dgm:chMax val="0"/>
          <dgm:chPref val="0"/>
          <dgm:bulletEnabled val="1"/>
        </dgm:presLayoutVars>
      </dgm:prSet>
      <dgm:spPr>
        <a:prstGeom prst="rect">
          <a:avLst/>
        </a:prstGeom>
      </dgm:spPr>
      <dgm:t>
        <a:bodyPr/>
        <a:lstStyle/>
        <a:p>
          <a:endParaRPr lang="fr-FR"/>
        </a:p>
      </dgm:t>
    </dgm:pt>
  </dgm:ptLst>
  <dgm:cxnLst>
    <dgm:cxn modelId="{2084C855-755C-4E1A-983F-C1FD245861E4}" type="presOf" srcId="{93B12CCA-E787-4286-803D-8D1C66F9271A}" destId="{A23D58FF-31CC-44D8-B1FE-7955960FB969}" srcOrd="0" destOrd="0" presId="urn:microsoft.com/office/officeart/2011/layout/TabList"/>
    <dgm:cxn modelId="{1840090F-FCD6-44D9-B5D8-18C650DED1D4}" srcId="{DB0DDD43-3E42-41DD-B160-816BEB4531E5}" destId="{F8435DD9-7E46-409A-ADED-3F8BD61CA0E2}" srcOrd="0" destOrd="0" parTransId="{93A07A27-6C53-401E-A3F2-525C626F1483}" sibTransId="{F2859BC6-84DB-4A77-8D26-EF96EC4285F4}"/>
    <dgm:cxn modelId="{AF0D4245-8210-49DD-9C17-9F90026A91B0}" srcId="{93B12CCA-E787-4286-803D-8D1C66F9271A}" destId="{DB0DDD43-3E42-41DD-B160-816BEB4531E5}" srcOrd="0" destOrd="0" parTransId="{36EEAA6D-E1E3-438A-A1BA-DBEF38459F4B}" sibTransId="{CFFF2C85-6A86-4D98-AC1F-4A15CF5FBD43}"/>
    <dgm:cxn modelId="{546C4D22-547C-4F41-8416-C70B72B9B808}" type="presOf" srcId="{F8435DD9-7E46-409A-ADED-3F8BD61CA0E2}" destId="{3367E8FF-BBEC-44ED-9B45-50233ED21F38}" srcOrd="0" destOrd="0" presId="urn:microsoft.com/office/officeart/2011/layout/TabList"/>
    <dgm:cxn modelId="{5D14D2EF-17DB-4A1A-AB21-749F9276048D}" type="presOf" srcId="{DB0DDD43-3E42-41DD-B160-816BEB4531E5}" destId="{247F3F79-6E25-4CA9-8B0E-FAEB3C894FC7}" srcOrd="0" destOrd="0" presId="urn:microsoft.com/office/officeart/2011/layout/TabList"/>
    <dgm:cxn modelId="{A206468E-26A4-4879-B1D7-72C75F23A456}" srcId="{DB0DDD43-3E42-41DD-B160-816BEB4531E5}" destId="{BD38DCE7-F8F9-4F18-8F40-899D9A44141E}" srcOrd="1" destOrd="0" parTransId="{44B7EF97-6BB1-4945-A109-73827DE88747}" sibTransId="{E15AF197-06F6-4A6D-92FD-57C442D8B56D}"/>
    <dgm:cxn modelId="{48A3D962-62B5-4CDB-BA25-9EB82C4D6354}" type="presOf" srcId="{BD38DCE7-F8F9-4F18-8F40-899D9A44141E}" destId="{E8AB1E02-C604-4BCD-B4C7-395E4A57BD61}" srcOrd="0" destOrd="0" presId="urn:microsoft.com/office/officeart/2011/layout/TabList"/>
    <dgm:cxn modelId="{A2384F81-0841-4EE0-A624-D9F76CF9F038}" type="presParOf" srcId="{A23D58FF-31CC-44D8-B1FE-7955960FB969}" destId="{18E556ED-9B1F-4D8A-98F4-2C131B8BABEC}" srcOrd="0" destOrd="0" presId="urn:microsoft.com/office/officeart/2011/layout/TabList"/>
    <dgm:cxn modelId="{D1642B9D-996F-4DC0-A460-F849CDC1219C}" type="presParOf" srcId="{18E556ED-9B1F-4D8A-98F4-2C131B8BABEC}" destId="{3367E8FF-BBEC-44ED-9B45-50233ED21F38}" srcOrd="0" destOrd="0" presId="urn:microsoft.com/office/officeart/2011/layout/TabList"/>
    <dgm:cxn modelId="{5BAC8E7A-FBBA-4E5F-98C6-CE5BCC3A2EB7}" type="presParOf" srcId="{18E556ED-9B1F-4D8A-98F4-2C131B8BABEC}" destId="{247F3F79-6E25-4CA9-8B0E-FAEB3C894FC7}" srcOrd="1" destOrd="0" presId="urn:microsoft.com/office/officeart/2011/layout/TabList"/>
    <dgm:cxn modelId="{11D3D6FD-CD83-4A9C-AD66-ADD1DF11048C}" type="presParOf" srcId="{18E556ED-9B1F-4D8A-98F4-2C131B8BABEC}" destId="{04B4ABB5-84D6-4E97-93D7-6618614B7D2F}" srcOrd="2" destOrd="0" presId="urn:microsoft.com/office/officeart/2011/layout/TabList"/>
    <dgm:cxn modelId="{82006905-94A7-49D0-9E43-0B54B227E0B4}" type="presParOf" srcId="{A23D58FF-31CC-44D8-B1FE-7955960FB969}" destId="{E8AB1E02-C604-4BCD-B4C7-395E4A57BD61}" srcOrd="1" destOrd="0" presId="urn:microsoft.com/office/officeart/2011/layout/TabList"/>
  </dgm:cxnLst>
  <dgm:bg/>
  <dgm:whole/>
  <dgm:extLst>
    <a:ext uri="http://schemas.microsoft.com/office/drawing/2008/diagram">
      <dsp:dataModelExt xmlns:dsp="http://schemas.microsoft.com/office/drawing/2008/diagram" xmlns="" relId="rId91"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60D9A13E-F014-494C-B5C5-EE5908B77283}" type="doc">
      <dgm:prSet loTypeId="urn:microsoft.com/office/officeart/2008/layout/PictureAccentList" loCatId="picture" qsTypeId="urn:microsoft.com/office/officeart/2005/8/quickstyle/simple1#14" qsCatId="simple" csTypeId="urn:microsoft.com/office/officeart/2005/8/colors/accent1_2#2" csCatId="accent1" phldr="1"/>
      <dgm:spPr/>
      <dgm:t>
        <a:bodyPr/>
        <a:lstStyle/>
        <a:p>
          <a:endParaRPr lang="fr-FR"/>
        </a:p>
      </dgm:t>
    </dgm:pt>
    <dgm:pt modelId="{46144A80-48A4-4B0F-9C89-FEF914635B87}">
      <dgm:prSet phldrT="[Texte]" custT="1"/>
      <dgm:spPr>
        <a:xfrm>
          <a:off x="123817" y="0"/>
          <a:ext cx="5829314" cy="819150"/>
        </a:xfrm>
      </dgm:spPr>
      <dgm:t>
        <a:bodyPr/>
        <a:lstStyle/>
        <a:p>
          <a:pPr algn="l"/>
          <a:r>
            <a:rPr lang="fr-FR" sz="2000" baseline="0">
              <a:latin typeface="Calibri"/>
              <a:ea typeface="+mn-ea"/>
              <a:cs typeface="+mn-cs"/>
            </a:rPr>
            <a:t>Les perspectives de développement sur Bordeaux</a:t>
          </a:r>
        </a:p>
      </dgm:t>
    </dgm:pt>
    <dgm:pt modelId="{203A5878-1B55-4FC8-AD38-B32CEF9146A2}" type="parTrans" cxnId="{800DFD3A-67E9-492D-B573-B79E18A71BBF}">
      <dgm:prSet/>
      <dgm:spPr/>
      <dgm:t>
        <a:bodyPr/>
        <a:lstStyle/>
        <a:p>
          <a:endParaRPr lang="fr-FR"/>
        </a:p>
      </dgm:t>
    </dgm:pt>
    <dgm:pt modelId="{820A5FB6-AD4C-4A63-810F-21D7A345D0F0}" type="sibTrans" cxnId="{800DFD3A-67E9-492D-B573-B79E18A71BBF}">
      <dgm:prSet/>
      <dgm:spPr/>
      <dgm:t>
        <a:bodyPr/>
        <a:lstStyle/>
        <a:p>
          <a:endParaRPr lang="fr-FR"/>
        </a:p>
      </dgm:t>
    </dgm:pt>
    <dgm:pt modelId="{2A627C6C-19F8-4FAB-AB77-B90949D074D1}" type="pres">
      <dgm:prSet presAssocID="{60D9A13E-F014-494C-B5C5-EE5908B77283}" presName="layout" presStyleCnt="0">
        <dgm:presLayoutVars>
          <dgm:chMax/>
          <dgm:chPref/>
          <dgm:dir/>
          <dgm:animOne val="branch"/>
          <dgm:animLvl val="lvl"/>
          <dgm:resizeHandles/>
        </dgm:presLayoutVars>
      </dgm:prSet>
      <dgm:spPr/>
      <dgm:t>
        <a:bodyPr/>
        <a:lstStyle/>
        <a:p>
          <a:endParaRPr lang="fr-FR"/>
        </a:p>
      </dgm:t>
    </dgm:pt>
    <dgm:pt modelId="{72F2A48A-495F-4309-B640-E98576DF3E05}" type="pres">
      <dgm:prSet presAssocID="{46144A80-48A4-4B0F-9C89-FEF914635B87}" presName="root" presStyleCnt="0">
        <dgm:presLayoutVars>
          <dgm:chMax/>
          <dgm:chPref val="4"/>
        </dgm:presLayoutVars>
      </dgm:prSet>
      <dgm:spPr/>
      <dgm:t>
        <a:bodyPr/>
        <a:lstStyle/>
        <a:p>
          <a:endParaRPr lang="fr-FR"/>
        </a:p>
      </dgm:t>
    </dgm:pt>
    <dgm:pt modelId="{D1594577-1ECD-4148-B0E7-6E5A22755D19}" type="pres">
      <dgm:prSet presAssocID="{46144A80-48A4-4B0F-9C89-FEF914635B87}" presName="rootComposite" presStyleCnt="0">
        <dgm:presLayoutVars/>
      </dgm:prSet>
      <dgm:spPr/>
      <dgm:t>
        <a:bodyPr/>
        <a:lstStyle/>
        <a:p>
          <a:endParaRPr lang="fr-FR"/>
        </a:p>
      </dgm:t>
    </dgm:pt>
    <dgm:pt modelId="{C20F34A7-B11F-4B7D-A9B0-87E6D0B23646}" type="pres">
      <dgm:prSet presAssocID="{46144A80-48A4-4B0F-9C89-FEF914635B87}" presName="rootText" presStyleLbl="node0" presStyleIdx="0" presStyleCnt="1" custScaleX="95925" custScaleY="400000">
        <dgm:presLayoutVars>
          <dgm:chMax/>
          <dgm:chPref val="4"/>
        </dgm:presLayoutVars>
      </dgm:prSet>
      <dgm:spPr>
        <a:prstGeom prst="roundRect">
          <a:avLst>
            <a:gd name="adj" fmla="val 10000"/>
          </a:avLst>
        </a:prstGeom>
      </dgm:spPr>
      <dgm:t>
        <a:bodyPr/>
        <a:lstStyle/>
        <a:p>
          <a:endParaRPr lang="fr-FR"/>
        </a:p>
      </dgm:t>
    </dgm:pt>
    <dgm:pt modelId="{6D34F6D7-AC63-4373-B2F1-467E75185EC3}" type="pres">
      <dgm:prSet presAssocID="{46144A80-48A4-4B0F-9C89-FEF914635B87}" presName="childShape" presStyleCnt="0">
        <dgm:presLayoutVars>
          <dgm:chMax val="0"/>
          <dgm:chPref val="0"/>
        </dgm:presLayoutVars>
      </dgm:prSet>
      <dgm:spPr/>
      <dgm:t>
        <a:bodyPr/>
        <a:lstStyle/>
        <a:p>
          <a:endParaRPr lang="fr-FR"/>
        </a:p>
      </dgm:t>
    </dgm:pt>
  </dgm:ptLst>
  <dgm:cxnLst>
    <dgm:cxn modelId="{7C7FE17C-1658-44AD-8175-56C38A3BC637}" type="presOf" srcId="{60D9A13E-F014-494C-B5C5-EE5908B77283}" destId="{2A627C6C-19F8-4FAB-AB77-B90949D074D1}" srcOrd="0" destOrd="0" presId="urn:microsoft.com/office/officeart/2008/layout/PictureAccentList"/>
    <dgm:cxn modelId="{E32657F9-F08A-440C-9216-415D872D5262}" type="presOf" srcId="{46144A80-48A4-4B0F-9C89-FEF914635B87}" destId="{C20F34A7-B11F-4B7D-A9B0-87E6D0B23646}" srcOrd="0" destOrd="0" presId="urn:microsoft.com/office/officeart/2008/layout/PictureAccentList"/>
    <dgm:cxn modelId="{800DFD3A-67E9-492D-B573-B79E18A71BBF}" srcId="{60D9A13E-F014-494C-B5C5-EE5908B77283}" destId="{46144A80-48A4-4B0F-9C89-FEF914635B87}" srcOrd="0" destOrd="0" parTransId="{203A5878-1B55-4FC8-AD38-B32CEF9146A2}" sibTransId="{820A5FB6-AD4C-4A63-810F-21D7A345D0F0}"/>
    <dgm:cxn modelId="{18200E41-F1E4-4FB1-A8AB-DF5703B73838}" type="presParOf" srcId="{2A627C6C-19F8-4FAB-AB77-B90949D074D1}" destId="{72F2A48A-495F-4309-B640-E98576DF3E05}" srcOrd="0" destOrd="0" presId="urn:microsoft.com/office/officeart/2008/layout/PictureAccentList"/>
    <dgm:cxn modelId="{5A890804-6312-414A-81BB-223626F44FB9}" type="presParOf" srcId="{72F2A48A-495F-4309-B640-E98576DF3E05}" destId="{D1594577-1ECD-4148-B0E7-6E5A22755D19}" srcOrd="0" destOrd="0" presId="urn:microsoft.com/office/officeart/2008/layout/PictureAccentList"/>
    <dgm:cxn modelId="{673E3220-D2EF-4C24-A24F-97C692AD0E7F}" type="presParOf" srcId="{D1594577-1ECD-4148-B0E7-6E5A22755D19}" destId="{C20F34A7-B11F-4B7D-A9B0-87E6D0B23646}" srcOrd="0" destOrd="0" presId="urn:microsoft.com/office/officeart/2008/layout/PictureAccentList"/>
    <dgm:cxn modelId="{17BBB3B3-6FB4-4F3E-9F0A-5743FA8F82C3}" type="presParOf" srcId="{72F2A48A-495F-4309-B640-E98576DF3E05}" destId="{6D34F6D7-AC63-4373-B2F1-467E75185EC3}" srcOrd="1" destOrd="0" presId="urn:microsoft.com/office/officeart/2008/layout/PictureAccentList"/>
  </dgm:cxnLst>
  <dgm:bg/>
  <dgm:whole/>
  <dgm:extLst>
    <a:ext uri="http://schemas.microsoft.com/office/drawing/2008/diagram">
      <dsp:dataModelExt xmlns:dsp="http://schemas.microsoft.com/office/drawing/2008/diagram" xmlns="" relId="rId98"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93B12CCA-E787-4286-803D-8D1C66F9271A}" type="doc">
      <dgm:prSet loTypeId="urn:microsoft.com/office/officeart/2011/layout/TabList" loCatId="officeonline" qsTypeId="urn:microsoft.com/office/officeart/2005/8/quickstyle/simple1#15" qsCatId="simple" csTypeId="urn:microsoft.com/office/officeart/2005/8/colors/accent1_2#3" csCatId="accent1" phldr="1"/>
      <dgm:spPr/>
      <dgm:t>
        <a:bodyPr/>
        <a:lstStyle/>
        <a:p>
          <a:endParaRPr lang="fr-FR"/>
        </a:p>
      </dgm:t>
    </dgm:pt>
    <dgm:pt modelId="{DB0DDD43-3E42-41DD-B160-816BEB4531E5}">
      <dgm:prSet phldrT="[Texte]"/>
      <dgm:spPr>
        <a:xfrm>
          <a:off x="0" y="496"/>
          <a:ext cx="661317" cy="338513"/>
        </a:xfrm>
      </dgm:spPr>
      <dgm:t>
        <a:bodyPr/>
        <a:lstStyle/>
        <a:p>
          <a:endParaRPr lang="fr-FR">
            <a:solidFill>
              <a:sysClr val="window" lastClr="FFFFFF"/>
            </a:solidFill>
            <a:latin typeface="Calibri"/>
            <a:ea typeface="+mn-ea"/>
            <a:cs typeface="+mn-cs"/>
          </a:endParaRPr>
        </a:p>
      </dgm:t>
    </dgm:pt>
    <dgm:pt modelId="{36EEAA6D-E1E3-438A-A1BA-DBEF38459F4B}" type="parTrans" cxnId="{AF0D4245-8210-49DD-9C17-9F90026A91B0}">
      <dgm:prSet/>
      <dgm:spPr/>
      <dgm:t>
        <a:bodyPr/>
        <a:lstStyle/>
        <a:p>
          <a:endParaRPr lang="fr-FR"/>
        </a:p>
      </dgm:t>
    </dgm:pt>
    <dgm:pt modelId="{CFFF2C85-6A86-4D98-AC1F-4A15CF5FBD43}" type="sibTrans" cxnId="{AF0D4245-8210-49DD-9C17-9F90026A91B0}">
      <dgm:prSet/>
      <dgm:spPr/>
      <dgm:t>
        <a:bodyPr/>
        <a:lstStyle/>
        <a:p>
          <a:endParaRPr lang="fr-FR"/>
        </a:p>
      </dgm:t>
    </dgm:pt>
    <dgm:pt modelId="{F8435DD9-7E46-409A-ADED-3F8BD61CA0E2}">
      <dgm:prSet phldrT="[Texte]"/>
      <dgm:spPr>
        <a:xfrm>
          <a:off x="846645" y="2"/>
          <a:ext cx="4710626" cy="338513"/>
        </a:xfrm>
      </dgm:spPr>
      <dgm:t>
        <a:bodyPr/>
        <a:lstStyle/>
        <a:p>
          <a:r>
            <a:rPr lang="fr-FR">
              <a:latin typeface="Calibri"/>
              <a:ea typeface="+mn-ea"/>
              <a:cs typeface="+mn-cs"/>
            </a:rPr>
            <a:t>Programmation pluri-annuelle 2013/2015 </a:t>
          </a:r>
        </a:p>
      </dgm:t>
    </dgm:pt>
    <dgm:pt modelId="{93A07A27-6C53-401E-A3F2-525C626F1483}" type="parTrans" cxnId="{1840090F-FCD6-44D9-B5D8-18C650DED1D4}">
      <dgm:prSet/>
      <dgm:spPr/>
      <dgm:t>
        <a:bodyPr/>
        <a:lstStyle/>
        <a:p>
          <a:endParaRPr lang="fr-FR"/>
        </a:p>
      </dgm:t>
    </dgm:pt>
    <dgm:pt modelId="{F2859BC6-84DB-4A77-8D26-EF96EC4285F4}" type="sibTrans" cxnId="{1840090F-FCD6-44D9-B5D8-18C650DED1D4}">
      <dgm:prSet/>
      <dgm:spPr/>
      <dgm:t>
        <a:bodyPr/>
        <a:lstStyle/>
        <a:p>
          <a:endParaRPr lang="fr-FR"/>
        </a:p>
      </dgm:t>
    </dgm:pt>
    <dgm:pt modelId="{BD38DCE7-F8F9-4F18-8F40-899D9A44141E}">
      <dgm:prSet phldrT="[Texte]"/>
      <dgm:spPr>
        <a:xfrm>
          <a:off x="0" y="339009"/>
          <a:ext cx="5760720" cy="677128"/>
        </a:xfrm>
      </dgm:spPr>
      <dgm:t>
        <a:bodyPr/>
        <a:lstStyle/>
        <a:p>
          <a:endParaRPr lang="fr-FR" sz="1600">
            <a:solidFill>
              <a:sysClr val="windowText" lastClr="000000">
                <a:hueOff val="0"/>
                <a:satOff val="0"/>
                <a:lumOff val="0"/>
                <a:alphaOff val="0"/>
              </a:sysClr>
            </a:solidFill>
            <a:latin typeface="Calibri"/>
            <a:ea typeface="+mn-ea"/>
            <a:cs typeface="+mn-cs"/>
          </a:endParaRPr>
        </a:p>
      </dgm:t>
    </dgm:pt>
    <dgm:pt modelId="{44B7EF97-6BB1-4945-A109-73827DE88747}" type="parTrans" cxnId="{A206468E-26A4-4879-B1D7-72C75F23A456}">
      <dgm:prSet/>
      <dgm:spPr/>
      <dgm:t>
        <a:bodyPr/>
        <a:lstStyle/>
        <a:p>
          <a:endParaRPr lang="fr-FR"/>
        </a:p>
      </dgm:t>
    </dgm:pt>
    <dgm:pt modelId="{E15AF197-06F6-4A6D-92FD-57C442D8B56D}" type="sibTrans" cxnId="{A206468E-26A4-4879-B1D7-72C75F23A456}">
      <dgm:prSet/>
      <dgm:spPr/>
      <dgm:t>
        <a:bodyPr/>
        <a:lstStyle/>
        <a:p>
          <a:endParaRPr lang="fr-FR"/>
        </a:p>
      </dgm:t>
    </dgm:pt>
    <dgm:pt modelId="{A23D58FF-31CC-44D8-B1FE-7955960FB969}" type="pres">
      <dgm:prSet presAssocID="{93B12CCA-E787-4286-803D-8D1C66F9271A}" presName="Name0" presStyleCnt="0">
        <dgm:presLayoutVars>
          <dgm:chMax/>
          <dgm:chPref val="3"/>
          <dgm:dir/>
          <dgm:animOne val="branch"/>
          <dgm:animLvl val="lvl"/>
        </dgm:presLayoutVars>
      </dgm:prSet>
      <dgm:spPr/>
      <dgm:t>
        <a:bodyPr/>
        <a:lstStyle/>
        <a:p>
          <a:endParaRPr lang="fr-FR"/>
        </a:p>
      </dgm:t>
    </dgm:pt>
    <dgm:pt modelId="{18E556ED-9B1F-4D8A-98F4-2C131B8BABEC}" type="pres">
      <dgm:prSet presAssocID="{DB0DDD43-3E42-41DD-B160-816BEB4531E5}" presName="composite" presStyleCnt="0"/>
      <dgm:spPr/>
      <dgm:t>
        <a:bodyPr/>
        <a:lstStyle/>
        <a:p>
          <a:endParaRPr lang="fr-FR"/>
        </a:p>
      </dgm:t>
    </dgm:pt>
    <dgm:pt modelId="{3367E8FF-BBEC-44ED-9B45-50233ED21F38}" type="pres">
      <dgm:prSet presAssocID="{DB0DDD43-3E42-41DD-B160-816BEB4531E5}" presName="FirstChild" presStyleLbl="revTx" presStyleIdx="0" presStyleCnt="2" custScaleX="110502" custScaleY="156659" custLinFactNeighborX="-7398" custLinFactNeighborY="-24497">
        <dgm:presLayoutVars>
          <dgm:chMax val="0"/>
          <dgm:chPref val="0"/>
          <dgm:bulletEnabled val="1"/>
        </dgm:presLayoutVars>
      </dgm:prSet>
      <dgm:spPr>
        <a:prstGeom prst="rect">
          <a:avLst/>
        </a:prstGeom>
      </dgm:spPr>
      <dgm:t>
        <a:bodyPr/>
        <a:lstStyle/>
        <a:p>
          <a:endParaRPr lang="fr-FR"/>
        </a:p>
      </dgm:t>
    </dgm:pt>
    <dgm:pt modelId="{247F3F79-6E25-4CA9-8B0E-FAEB3C894FC7}" type="pres">
      <dgm:prSet presAssocID="{DB0DDD43-3E42-41DD-B160-816BEB4531E5}" presName="Parent" presStyleLbl="alignNode1" presStyleIdx="0" presStyleCnt="1" custScaleX="44153" custScaleY="148834" custLinFactNeighborX="-19828" custLinFactNeighborY="-16234">
        <dgm:presLayoutVars>
          <dgm:chMax val="3"/>
          <dgm:chPref val="3"/>
          <dgm:bulletEnabled val="1"/>
        </dgm:presLayoutVars>
      </dgm:prSet>
      <dgm:spPr>
        <a:prstGeom prst="round2SameRect">
          <a:avLst>
            <a:gd name="adj1" fmla="val 16670"/>
            <a:gd name="adj2" fmla="val 0"/>
          </a:avLst>
        </a:prstGeom>
      </dgm:spPr>
      <dgm:t>
        <a:bodyPr/>
        <a:lstStyle/>
        <a:p>
          <a:endParaRPr lang="fr-FR"/>
        </a:p>
      </dgm:t>
    </dgm:pt>
    <dgm:pt modelId="{04B4ABB5-84D6-4E97-93D7-6618614B7D2F}" type="pres">
      <dgm:prSet presAssocID="{DB0DDD43-3E42-41DD-B160-816BEB4531E5}" presName="Accent" presStyleLbl="parChTrans1D1" presStyleIdx="0" presStyleCnt="1" custLinFactNeighborX="3402" custLinFactNeighborY="26458"/>
      <dgm:spPr>
        <a:xfrm>
          <a:off x="-111923" y="339009"/>
          <a:ext cx="5760720" cy="0"/>
        </a:xfrm>
        <a:prstGeom prst="line">
          <a:avLst/>
        </a:prstGeom>
      </dgm:spPr>
      <dgm:t>
        <a:bodyPr/>
        <a:lstStyle/>
        <a:p>
          <a:endParaRPr lang="fr-FR"/>
        </a:p>
      </dgm:t>
    </dgm:pt>
    <dgm:pt modelId="{E8AB1E02-C604-4BCD-B4C7-395E4A57BD61}" type="pres">
      <dgm:prSet presAssocID="{DB0DDD43-3E42-41DD-B160-816BEB4531E5}" presName="Child" presStyleLbl="revTx" presStyleIdx="1" presStyleCnt="2" custFlipVert="1" custScaleY="6750">
        <dgm:presLayoutVars>
          <dgm:chMax val="0"/>
          <dgm:chPref val="0"/>
          <dgm:bulletEnabled val="1"/>
        </dgm:presLayoutVars>
      </dgm:prSet>
      <dgm:spPr>
        <a:prstGeom prst="rect">
          <a:avLst/>
        </a:prstGeom>
      </dgm:spPr>
      <dgm:t>
        <a:bodyPr/>
        <a:lstStyle/>
        <a:p>
          <a:endParaRPr lang="fr-FR"/>
        </a:p>
      </dgm:t>
    </dgm:pt>
  </dgm:ptLst>
  <dgm:cxnLst>
    <dgm:cxn modelId="{1840090F-FCD6-44D9-B5D8-18C650DED1D4}" srcId="{DB0DDD43-3E42-41DD-B160-816BEB4531E5}" destId="{F8435DD9-7E46-409A-ADED-3F8BD61CA0E2}" srcOrd="0" destOrd="0" parTransId="{93A07A27-6C53-401E-A3F2-525C626F1483}" sibTransId="{F2859BC6-84DB-4A77-8D26-EF96EC4285F4}"/>
    <dgm:cxn modelId="{AF0D4245-8210-49DD-9C17-9F90026A91B0}" srcId="{93B12CCA-E787-4286-803D-8D1C66F9271A}" destId="{DB0DDD43-3E42-41DD-B160-816BEB4531E5}" srcOrd="0" destOrd="0" parTransId="{36EEAA6D-E1E3-438A-A1BA-DBEF38459F4B}" sibTransId="{CFFF2C85-6A86-4D98-AC1F-4A15CF5FBD43}"/>
    <dgm:cxn modelId="{6E0CB87B-8320-4ADD-8AE5-FB38AFD7E778}" type="presOf" srcId="{93B12CCA-E787-4286-803D-8D1C66F9271A}" destId="{A23D58FF-31CC-44D8-B1FE-7955960FB969}" srcOrd="0" destOrd="0" presId="urn:microsoft.com/office/officeart/2011/layout/TabList"/>
    <dgm:cxn modelId="{454A91DA-BD7C-40E4-984C-3E8C77B770DA}" type="presOf" srcId="{F8435DD9-7E46-409A-ADED-3F8BD61CA0E2}" destId="{3367E8FF-BBEC-44ED-9B45-50233ED21F38}" srcOrd="0" destOrd="0" presId="urn:microsoft.com/office/officeart/2011/layout/TabList"/>
    <dgm:cxn modelId="{B9DAAAB1-E13C-45E6-AEFE-CC0E04CAF151}" type="presOf" srcId="{DB0DDD43-3E42-41DD-B160-816BEB4531E5}" destId="{247F3F79-6E25-4CA9-8B0E-FAEB3C894FC7}" srcOrd="0" destOrd="0" presId="urn:microsoft.com/office/officeart/2011/layout/TabList"/>
    <dgm:cxn modelId="{AFFFF7BE-47EE-41B5-B25D-A977F4FB0A66}" type="presOf" srcId="{BD38DCE7-F8F9-4F18-8F40-899D9A44141E}" destId="{E8AB1E02-C604-4BCD-B4C7-395E4A57BD61}" srcOrd="0" destOrd="0" presId="urn:microsoft.com/office/officeart/2011/layout/TabList"/>
    <dgm:cxn modelId="{A206468E-26A4-4879-B1D7-72C75F23A456}" srcId="{DB0DDD43-3E42-41DD-B160-816BEB4531E5}" destId="{BD38DCE7-F8F9-4F18-8F40-899D9A44141E}" srcOrd="1" destOrd="0" parTransId="{44B7EF97-6BB1-4945-A109-73827DE88747}" sibTransId="{E15AF197-06F6-4A6D-92FD-57C442D8B56D}"/>
    <dgm:cxn modelId="{3AE3EBF0-B696-40F3-8BF6-9172FE214231}" type="presParOf" srcId="{A23D58FF-31CC-44D8-B1FE-7955960FB969}" destId="{18E556ED-9B1F-4D8A-98F4-2C131B8BABEC}" srcOrd="0" destOrd="0" presId="urn:microsoft.com/office/officeart/2011/layout/TabList"/>
    <dgm:cxn modelId="{813B74BD-9A11-46C7-9A44-F1E4B217E95E}" type="presParOf" srcId="{18E556ED-9B1F-4D8A-98F4-2C131B8BABEC}" destId="{3367E8FF-BBEC-44ED-9B45-50233ED21F38}" srcOrd="0" destOrd="0" presId="urn:microsoft.com/office/officeart/2011/layout/TabList"/>
    <dgm:cxn modelId="{CF44DEEF-E56D-4A0D-ADEC-EF58CA947914}" type="presParOf" srcId="{18E556ED-9B1F-4D8A-98F4-2C131B8BABEC}" destId="{247F3F79-6E25-4CA9-8B0E-FAEB3C894FC7}" srcOrd="1" destOrd="0" presId="urn:microsoft.com/office/officeart/2011/layout/TabList"/>
    <dgm:cxn modelId="{7B1B96D7-6904-4B92-8E63-25DD32D26CFA}" type="presParOf" srcId="{18E556ED-9B1F-4D8A-98F4-2C131B8BABEC}" destId="{04B4ABB5-84D6-4E97-93D7-6618614B7D2F}" srcOrd="2" destOrd="0" presId="urn:microsoft.com/office/officeart/2011/layout/TabList"/>
    <dgm:cxn modelId="{E6B60D86-19E9-4B2B-8511-A3EACB0325FC}" type="presParOf" srcId="{A23D58FF-31CC-44D8-B1FE-7955960FB969}" destId="{E8AB1E02-C604-4BCD-B4C7-395E4A57BD61}" srcOrd="1" destOrd="0" presId="urn:microsoft.com/office/officeart/2011/layout/TabList"/>
  </dgm:cxnLst>
  <dgm:bg/>
  <dgm:whole/>
  <dgm:extLst>
    <a:ext uri="http://schemas.microsoft.com/office/drawing/2008/diagram">
      <dsp:dataModelExt xmlns:dsp="http://schemas.microsoft.com/office/drawing/2008/diagram" xmlns="" relId="rId103"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93B12CCA-E787-4286-803D-8D1C66F9271A}" type="doc">
      <dgm:prSet loTypeId="urn:microsoft.com/office/officeart/2011/layout/TabList" loCatId="officeonline" qsTypeId="urn:microsoft.com/office/officeart/2005/8/quickstyle/simple1#16" qsCatId="simple" csTypeId="urn:microsoft.com/office/officeart/2005/8/colors/accent1_2#4" csCatId="accent1" phldr="1"/>
      <dgm:spPr/>
      <dgm:t>
        <a:bodyPr/>
        <a:lstStyle/>
        <a:p>
          <a:endParaRPr lang="fr-FR"/>
        </a:p>
      </dgm:t>
    </dgm:pt>
    <dgm:pt modelId="{DB0DDD43-3E42-41DD-B160-816BEB4531E5}">
      <dgm:prSet phldrT="[Texte]"/>
      <dgm:spPr>
        <a:xfrm>
          <a:off x="0" y="219232"/>
          <a:ext cx="661536" cy="234697"/>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endParaRPr lang="fr-FR">
            <a:solidFill>
              <a:sysClr val="window" lastClr="FFFFFF"/>
            </a:solidFill>
            <a:latin typeface="Calibri"/>
            <a:ea typeface="+mn-ea"/>
            <a:cs typeface="+mn-cs"/>
          </a:endParaRPr>
        </a:p>
      </dgm:t>
    </dgm:pt>
    <dgm:pt modelId="{36EEAA6D-E1E3-438A-A1BA-DBEF38459F4B}" type="parTrans" cxnId="{AF0D4245-8210-49DD-9C17-9F90026A91B0}">
      <dgm:prSet/>
      <dgm:spPr/>
      <dgm:t>
        <a:bodyPr/>
        <a:lstStyle/>
        <a:p>
          <a:endParaRPr lang="fr-FR"/>
        </a:p>
      </dgm:t>
    </dgm:pt>
    <dgm:pt modelId="{CFFF2C85-6A86-4D98-AC1F-4A15CF5FBD43}" type="sibTrans" cxnId="{AF0D4245-8210-49DD-9C17-9F90026A91B0}">
      <dgm:prSet/>
      <dgm:spPr/>
      <dgm:t>
        <a:bodyPr/>
        <a:lstStyle/>
        <a:p>
          <a:endParaRPr lang="fr-FR"/>
        </a:p>
      </dgm:t>
    </dgm:pt>
    <dgm:pt modelId="{F8435DD9-7E46-409A-ADED-3F8BD61CA0E2}">
      <dgm:prSet phldrT="[Texte]"/>
      <dgm:spPr>
        <a:xfrm>
          <a:off x="846925" y="95249"/>
          <a:ext cx="4712183" cy="367674"/>
        </a:xfrm>
        <a:noFill/>
        <a:ln>
          <a:noFill/>
        </a:ln>
        <a:effectLst/>
      </dgm:spPr>
      <dgm:t>
        <a:bodyPr/>
        <a:lstStyle/>
        <a:p>
          <a:r>
            <a:rPr lang="fr-FR">
              <a:solidFill>
                <a:sysClr val="windowText" lastClr="000000">
                  <a:hueOff val="0"/>
                  <a:satOff val="0"/>
                  <a:lumOff val="0"/>
                  <a:alphaOff val="0"/>
                </a:sysClr>
              </a:solidFill>
              <a:latin typeface="Calibri"/>
              <a:ea typeface="+mn-ea"/>
              <a:cs typeface="+mn-cs"/>
            </a:rPr>
            <a:t>Programmation prévisionnelle 2013 </a:t>
          </a:r>
        </a:p>
      </dgm:t>
    </dgm:pt>
    <dgm:pt modelId="{93A07A27-6C53-401E-A3F2-525C626F1483}" type="parTrans" cxnId="{1840090F-FCD6-44D9-B5D8-18C650DED1D4}">
      <dgm:prSet/>
      <dgm:spPr/>
      <dgm:t>
        <a:bodyPr/>
        <a:lstStyle/>
        <a:p>
          <a:endParaRPr lang="fr-FR"/>
        </a:p>
      </dgm:t>
    </dgm:pt>
    <dgm:pt modelId="{F2859BC6-84DB-4A77-8D26-EF96EC4285F4}" type="sibTrans" cxnId="{1840090F-FCD6-44D9-B5D8-18C650DED1D4}">
      <dgm:prSet/>
      <dgm:spPr/>
      <dgm:t>
        <a:bodyPr/>
        <a:lstStyle/>
        <a:p>
          <a:endParaRPr lang="fr-FR"/>
        </a:p>
      </dgm:t>
    </dgm:pt>
    <dgm:pt modelId="{BD38DCE7-F8F9-4F18-8F40-899D9A44141E}">
      <dgm:prSet phldrT="[Texte]"/>
      <dgm:spPr>
        <a:xfrm flipV="1">
          <a:off x="0" y="520417"/>
          <a:ext cx="5762624" cy="31688"/>
        </a:xfrm>
        <a:noFill/>
        <a:ln>
          <a:noFill/>
        </a:ln>
        <a:effectLst/>
      </dgm:spPr>
      <dgm:t>
        <a:bodyPr/>
        <a:lstStyle/>
        <a:p>
          <a:endParaRPr lang="fr-FR" sz="1600">
            <a:solidFill>
              <a:sysClr val="windowText" lastClr="000000">
                <a:hueOff val="0"/>
                <a:satOff val="0"/>
                <a:lumOff val="0"/>
                <a:alphaOff val="0"/>
              </a:sysClr>
            </a:solidFill>
            <a:latin typeface="Calibri"/>
            <a:ea typeface="+mn-ea"/>
            <a:cs typeface="+mn-cs"/>
          </a:endParaRPr>
        </a:p>
      </dgm:t>
    </dgm:pt>
    <dgm:pt modelId="{44B7EF97-6BB1-4945-A109-73827DE88747}" type="parTrans" cxnId="{A206468E-26A4-4879-B1D7-72C75F23A456}">
      <dgm:prSet/>
      <dgm:spPr/>
      <dgm:t>
        <a:bodyPr/>
        <a:lstStyle/>
        <a:p>
          <a:endParaRPr lang="fr-FR"/>
        </a:p>
      </dgm:t>
    </dgm:pt>
    <dgm:pt modelId="{E15AF197-06F6-4A6D-92FD-57C442D8B56D}" type="sibTrans" cxnId="{A206468E-26A4-4879-B1D7-72C75F23A456}">
      <dgm:prSet/>
      <dgm:spPr/>
      <dgm:t>
        <a:bodyPr/>
        <a:lstStyle/>
        <a:p>
          <a:endParaRPr lang="fr-FR"/>
        </a:p>
      </dgm:t>
    </dgm:pt>
    <dgm:pt modelId="{A23D58FF-31CC-44D8-B1FE-7955960FB969}" type="pres">
      <dgm:prSet presAssocID="{93B12CCA-E787-4286-803D-8D1C66F9271A}" presName="Name0" presStyleCnt="0">
        <dgm:presLayoutVars>
          <dgm:chMax/>
          <dgm:chPref val="3"/>
          <dgm:dir/>
          <dgm:animOne val="branch"/>
          <dgm:animLvl val="lvl"/>
        </dgm:presLayoutVars>
      </dgm:prSet>
      <dgm:spPr/>
      <dgm:t>
        <a:bodyPr/>
        <a:lstStyle/>
        <a:p>
          <a:endParaRPr lang="fr-FR"/>
        </a:p>
      </dgm:t>
    </dgm:pt>
    <dgm:pt modelId="{18E556ED-9B1F-4D8A-98F4-2C131B8BABEC}" type="pres">
      <dgm:prSet presAssocID="{DB0DDD43-3E42-41DD-B160-816BEB4531E5}" presName="composite" presStyleCnt="0"/>
      <dgm:spPr/>
      <dgm:t>
        <a:bodyPr/>
        <a:lstStyle/>
        <a:p>
          <a:endParaRPr lang="fr-FR"/>
        </a:p>
      </dgm:t>
    </dgm:pt>
    <dgm:pt modelId="{3367E8FF-BBEC-44ED-9B45-50233ED21F38}" type="pres">
      <dgm:prSet presAssocID="{DB0DDD43-3E42-41DD-B160-816BEB4531E5}" presName="FirstChild" presStyleLbl="revTx" presStyleIdx="0" presStyleCnt="2" custScaleX="110502" custScaleY="156659" custLinFactNeighborX="-6530" custLinFactNeighborY="-32613">
        <dgm:presLayoutVars>
          <dgm:chMax val="0"/>
          <dgm:chPref val="0"/>
          <dgm:bulletEnabled val="1"/>
        </dgm:presLayoutVars>
      </dgm:prSet>
      <dgm:spPr>
        <a:prstGeom prst="rect">
          <a:avLst/>
        </a:prstGeom>
      </dgm:spPr>
      <dgm:t>
        <a:bodyPr/>
        <a:lstStyle/>
        <a:p>
          <a:endParaRPr lang="fr-FR"/>
        </a:p>
      </dgm:t>
    </dgm:pt>
    <dgm:pt modelId="{247F3F79-6E25-4CA9-8B0E-FAEB3C894FC7}" type="pres">
      <dgm:prSet presAssocID="{DB0DDD43-3E42-41DD-B160-816BEB4531E5}" presName="Parent" presStyleLbl="alignNode1" presStyleIdx="0" presStyleCnt="1" custScaleX="44153" custScaleY="148833" custLinFactNeighborX="-25296" custLinFactNeighborY="-28418">
        <dgm:presLayoutVars>
          <dgm:chMax val="3"/>
          <dgm:chPref val="3"/>
          <dgm:bulletEnabled val="1"/>
        </dgm:presLayoutVars>
      </dgm:prSet>
      <dgm:spPr>
        <a:prstGeom prst="round2SameRect">
          <a:avLst>
            <a:gd name="adj1" fmla="val 16670"/>
            <a:gd name="adj2" fmla="val 0"/>
          </a:avLst>
        </a:prstGeom>
      </dgm:spPr>
      <dgm:t>
        <a:bodyPr/>
        <a:lstStyle/>
        <a:p>
          <a:endParaRPr lang="fr-FR"/>
        </a:p>
      </dgm:t>
    </dgm:pt>
    <dgm:pt modelId="{04B4ABB5-84D6-4E97-93D7-6618614B7D2F}" type="pres">
      <dgm:prSet presAssocID="{DB0DDD43-3E42-41DD-B160-816BEB4531E5}" presName="Accent" presStyleLbl="parChTrans1D1" presStyleIdx="0" presStyleCnt="1" custLinFactNeighborX="1943" custLinFactNeighborY="-26458"/>
      <dgm:spPr>
        <a:xfrm>
          <a:off x="-111960" y="453929"/>
          <a:ext cx="5762624" cy="0"/>
        </a:xfrm>
        <a:prstGeom prst="line">
          <a:avLst/>
        </a:prstGeom>
        <a:noFill/>
        <a:ln w="25400" cap="flat" cmpd="sng" algn="ctr">
          <a:solidFill>
            <a:srgbClr val="4F81BD">
              <a:shade val="60000"/>
              <a:hueOff val="0"/>
              <a:satOff val="0"/>
              <a:lumOff val="0"/>
              <a:alphaOff val="0"/>
            </a:srgbClr>
          </a:solidFill>
          <a:prstDash val="solid"/>
        </a:ln>
        <a:effectLst/>
      </dgm:spPr>
      <dgm:t>
        <a:bodyPr/>
        <a:lstStyle/>
        <a:p>
          <a:endParaRPr lang="fr-FR"/>
        </a:p>
      </dgm:t>
    </dgm:pt>
    <dgm:pt modelId="{E8AB1E02-C604-4BCD-B4C7-395E4A57BD61}" type="pres">
      <dgm:prSet presAssocID="{DB0DDD43-3E42-41DD-B160-816BEB4531E5}" presName="Child" presStyleLbl="revTx" presStyleIdx="1" presStyleCnt="2" custFlipVert="1" custScaleY="6750">
        <dgm:presLayoutVars>
          <dgm:chMax val="0"/>
          <dgm:chPref val="0"/>
          <dgm:bulletEnabled val="1"/>
        </dgm:presLayoutVars>
      </dgm:prSet>
      <dgm:spPr>
        <a:prstGeom prst="rect">
          <a:avLst/>
        </a:prstGeom>
      </dgm:spPr>
      <dgm:t>
        <a:bodyPr/>
        <a:lstStyle/>
        <a:p>
          <a:endParaRPr lang="fr-FR"/>
        </a:p>
      </dgm:t>
    </dgm:pt>
  </dgm:ptLst>
  <dgm:cxnLst>
    <dgm:cxn modelId="{8EC0E23E-56C1-4B75-AEAA-4EE0BE0A6899}" type="presOf" srcId="{BD38DCE7-F8F9-4F18-8F40-899D9A44141E}" destId="{E8AB1E02-C604-4BCD-B4C7-395E4A57BD61}" srcOrd="0" destOrd="0" presId="urn:microsoft.com/office/officeart/2011/layout/TabList"/>
    <dgm:cxn modelId="{1BCF0DC6-8188-4CA1-A29C-EE9BB820C673}" type="presOf" srcId="{F8435DD9-7E46-409A-ADED-3F8BD61CA0E2}" destId="{3367E8FF-BBEC-44ED-9B45-50233ED21F38}" srcOrd="0" destOrd="0" presId="urn:microsoft.com/office/officeart/2011/layout/TabList"/>
    <dgm:cxn modelId="{1840090F-FCD6-44D9-B5D8-18C650DED1D4}" srcId="{DB0DDD43-3E42-41DD-B160-816BEB4531E5}" destId="{F8435DD9-7E46-409A-ADED-3F8BD61CA0E2}" srcOrd="0" destOrd="0" parTransId="{93A07A27-6C53-401E-A3F2-525C626F1483}" sibTransId="{F2859BC6-84DB-4A77-8D26-EF96EC4285F4}"/>
    <dgm:cxn modelId="{AF0D4245-8210-49DD-9C17-9F90026A91B0}" srcId="{93B12CCA-E787-4286-803D-8D1C66F9271A}" destId="{DB0DDD43-3E42-41DD-B160-816BEB4531E5}" srcOrd="0" destOrd="0" parTransId="{36EEAA6D-E1E3-438A-A1BA-DBEF38459F4B}" sibTransId="{CFFF2C85-6A86-4D98-AC1F-4A15CF5FBD43}"/>
    <dgm:cxn modelId="{13D28ACA-C1D6-4B7D-8C54-29715386477A}" type="presOf" srcId="{DB0DDD43-3E42-41DD-B160-816BEB4531E5}" destId="{247F3F79-6E25-4CA9-8B0E-FAEB3C894FC7}" srcOrd="0" destOrd="0" presId="urn:microsoft.com/office/officeart/2011/layout/TabList"/>
    <dgm:cxn modelId="{A206468E-26A4-4879-B1D7-72C75F23A456}" srcId="{DB0DDD43-3E42-41DD-B160-816BEB4531E5}" destId="{BD38DCE7-F8F9-4F18-8F40-899D9A44141E}" srcOrd="1" destOrd="0" parTransId="{44B7EF97-6BB1-4945-A109-73827DE88747}" sibTransId="{E15AF197-06F6-4A6D-92FD-57C442D8B56D}"/>
    <dgm:cxn modelId="{F583B003-FB1E-442A-9E69-5D598E7BD542}" type="presOf" srcId="{93B12CCA-E787-4286-803D-8D1C66F9271A}" destId="{A23D58FF-31CC-44D8-B1FE-7955960FB969}" srcOrd="0" destOrd="0" presId="urn:microsoft.com/office/officeart/2011/layout/TabList"/>
    <dgm:cxn modelId="{D1B0D90C-4807-47D8-BAB7-881F36B72989}" type="presParOf" srcId="{A23D58FF-31CC-44D8-B1FE-7955960FB969}" destId="{18E556ED-9B1F-4D8A-98F4-2C131B8BABEC}" srcOrd="0" destOrd="0" presId="urn:microsoft.com/office/officeart/2011/layout/TabList"/>
    <dgm:cxn modelId="{8791026E-D3F6-4080-B435-BE89E91F87EF}" type="presParOf" srcId="{18E556ED-9B1F-4D8A-98F4-2C131B8BABEC}" destId="{3367E8FF-BBEC-44ED-9B45-50233ED21F38}" srcOrd="0" destOrd="0" presId="urn:microsoft.com/office/officeart/2011/layout/TabList"/>
    <dgm:cxn modelId="{D83F1204-A1A3-4DFB-8DD4-88A69EE45ADC}" type="presParOf" srcId="{18E556ED-9B1F-4D8A-98F4-2C131B8BABEC}" destId="{247F3F79-6E25-4CA9-8B0E-FAEB3C894FC7}" srcOrd="1" destOrd="0" presId="urn:microsoft.com/office/officeart/2011/layout/TabList"/>
    <dgm:cxn modelId="{92D8B9F1-C11A-4EBE-833D-7E40DA1A3A49}" type="presParOf" srcId="{18E556ED-9B1F-4D8A-98F4-2C131B8BABEC}" destId="{04B4ABB5-84D6-4E97-93D7-6618614B7D2F}" srcOrd="2" destOrd="0" presId="urn:microsoft.com/office/officeart/2011/layout/TabList"/>
    <dgm:cxn modelId="{2807909C-D535-4A75-8657-A368FBDFE617}" type="presParOf" srcId="{A23D58FF-31CC-44D8-B1FE-7955960FB969}" destId="{E8AB1E02-C604-4BCD-B4C7-395E4A57BD61}" srcOrd="1" destOrd="0" presId="urn:microsoft.com/office/officeart/2011/layout/TabList"/>
  </dgm:cxnLst>
  <dgm:bg/>
  <dgm:whole/>
  <dgm:extLst>
    <a:ext uri="http://schemas.microsoft.com/office/drawing/2008/diagram">
      <dsp:dataModelExt xmlns:dsp="http://schemas.microsoft.com/office/drawing/2008/diagram" xmlns="" relId="rId108"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93B12CCA-E787-4286-803D-8D1C66F9271A}" type="doc">
      <dgm:prSet loTypeId="urn:microsoft.com/office/officeart/2011/layout/TabList" loCatId="officeonline" qsTypeId="urn:microsoft.com/office/officeart/2005/8/quickstyle/simple1#17" qsCatId="simple" csTypeId="urn:microsoft.com/office/officeart/2005/8/colors/accent1_2#5" csCatId="accent1" phldr="1"/>
      <dgm:spPr/>
      <dgm:t>
        <a:bodyPr/>
        <a:lstStyle/>
        <a:p>
          <a:endParaRPr lang="fr-FR"/>
        </a:p>
      </dgm:t>
    </dgm:pt>
    <dgm:pt modelId="{DB0DDD43-3E42-41DD-B160-816BEB4531E5}">
      <dgm:prSet phldrT="[Texte]"/>
      <dgm:spPr>
        <a:xfrm>
          <a:off x="0" y="219159"/>
          <a:ext cx="661317" cy="234619"/>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endParaRPr lang="fr-FR">
            <a:solidFill>
              <a:sysClr val="window" lastClr="FFFFFF"/>
            </a:solidFill>
            <a:latin typeface="Calibri"/>
            <a:ea typeface="+mn-ea"/>
            <a:cs typeface="+mn-cs"/>
          </a:endParaRPr>
        </a:p>
      </dgm:t>
    </dgm:pt>
    <dgm:pt modelId="{36EEAA6D-E1E3-438A-A1BA-DBEF38459F4B}" type="parTrans" cxnId="{AF0D4245-8210-49DD-9C17-9F90026A91B0}">
      <dgm:prSet/>
      <dgm:spPr/>
      <dgm:t>
        <a:bodyPr/>
        <a:lstStyle/>
        <a:p>
          <a:endParaRPr lang="fr-FR"/>
        </a:p>
      </dgm:t>
    </dgm:pt>
    <dgm:pt modelId="{CFFF2C85-6A86-4D98-AC1F-4A15CF5FBD43}" type="sibTrans" cxnId="{AF0D4245-8210-49DD-9C17-9F90026A91B0}">
      <dgm:prSet/>
      <dgm:spPr/>
      <dgm:t>
        <a:bodyPr/>
        <a:lstStyle/>
        <a:p>
          <a:endParaRPr lang="fr-FR"/>
        </a:p>
      </dgm:t>
    </dgm:pt>
    <dgm:pt modelId="{F8435DD9-7E46-409A-ADED-3F8BD61CA0E2}">
      <dgm:prSet phldrT="[Texte]" custT="1"/>
      <dgm:spPr>
        <a:xfrm>
          <a:off x="846645" y="95218"/>
          <a:ext cx="4710626" cy="367552"/>
        </a:xfrm>
        <a:noFill/>
        <a:ln>
          <a:noFill/>
        </a:ln>
        <a:effectLst/>
      </dgm:spPr>
      <dgm:t>
        <a:bodyPr/>
        <a:lstStyle/>
        <a:p>
          <a:r>
            <a:rPr lang="fr-FR" sz="1900">
              <a:solidFill>
                <a:sysClr val="windowText" lastClr="000000">
                  <a:hueOff val="0"/>
                  <a:satOff val="0"/>
                  <a:lumOff val="0"/>
                  <a:alphaOff val="0"/>
                </a:sysClr>
              </a:solidFill>
              <a:latin typeface="Calibri"/>
              <a:ea typeface="+mn-ea"/>
              <a:cs typeface="+mn-cs"/>
            </a:rPr>
            <a:t>La démarche insertion dans les Grands Projets Urbains  </a:t>
          </a:r>
        </a:p>
      </dgm:t>
    </dgm:pt>
    <dgm:pt modelId="{93A07A27-6C53-401E-A3F2-525C626F1483}" type="parTrans" cxnId="{1840090F-FCD6-44D9-B5D8-18C650DED1D4}">
      <dgm:prSet/>
      <dgm:spPr/>
      <dgm:t>
        <a:bodyPr/>
        <a:lstStyle/>
        <a:p>
          <a:endParaRPr lang="fr-FR"/>
        </a:p>
      </dgm:t>
    </dgm:pt>
    <dgm:pt modelId="{F2859BC6-84DB-4A77-8D26-EF96EC4285F4}" type="sibTrans" cxnId="{1840090F-FCD6-44D9-B5D8-18C650DED1D4}">
      <dgm:prSet/>
      <dgm:spPr/>
      <dgm:t>
        <a:bodyPr/>
        <a:lstStyle/>
        <a:p>
          <a:endParaRPr lang="fr-FR"/>
        </a:p>
      </dgm:t>
    </dgm:pt>
    <dgm:pt modelId="{BD38DCE7-F8F9-4F18-8F40-899D9A44141E}">
      <dgm:prSet phldrT="[Texte]"/>
      <dgm:spPr>
        <a:xfrm flipV="1">
          <a:off x="0" y="520245"/>
          <a:ext cx="5760720" cy="31678"/>
        </a:xfrm>
        <a:noFill/>
        <a:ln>
          <a:noFill/>
        </a:ln>
        <a:effectLst/>
      </dgm:spPr>
      <dgm:t>
        <a:bodyPr/>
        <a:lstStyle/>
        <a:p>
          <a:endParaRPr lang="fr-FR" sz="1600">
            <a:solidFill>
              <a:sysClr val="windowText" lastClr="000000">
                <a:hueOff val="0"/>
                <a:satOff val="0"/>
                <a:lumOff val="0"/>
                <a:alphaOff val="0"/>
              </a:sysClr>
            </a:solidFill>
            <a:latin typeface="Calibri"/>
            <a:ea typeface="+mn-ea"/>
            <a:cs typeface="+mn-cs"/>
          </a:endParaRPr>
        </a:p>
      </dgm:t>
    </dgm:pt>
    <dgm:pt modelId="{44B7EF97-6BB1-4945-A109-73827DE88747}" type="parTrans" cxnId="{A206468E-26A4-4879-B1D7-72C75F23A456}">
      <dgm:prSet/>
      <dgm:spPr/>
      <dgm:t>
        <a:bodyPr/>
        <a:lstStyle/>
        <a:p>
          <a:endParaRPr lang="fr-FR"/>
        </a:p>
      </dgm:t>
    </dgm:pt>
    <dgm:pt modelId="{E15AF197-06F6-4A6D-92FD-57C442D8B56D}" type="sibTrans" cxnId="{A206468E-26A4-4879-B1D7-72C75F23A456}">
      <dgm:prSet/>
      <dgm:spPr/>
      <dgm:t>
        <a:bodyPr/>
        <a:lstStyle/>
        <a:p>
          <a:endParaRPr lang="fr-FR"/>
        </a:p>
      </dgm:t>
    </dgm:pt>
    <dgm:pt modelId="{A23D58FF-31CC-44D8-B1FE-7955960FB969}" type="pres">
      <dgm:prSet presAssocID="{93B12CCA-E787-4286-803D-8D1C66F9271A}" presName="Name0" presStyleCnt="0">
        <dgm:presLayoutVars>
          <dgm:chMax/>
          <dgm:chPref val="3"/>
          <dgm:dir/>
          <dgm:animOne val="branch"/>
          <dgm:animLvl val="lvl"/>
        </dgm:presLayoutVars>
      </dgm:prSet>
      <dgm:spPr/>
      <dgm:t>
        <a:bodyPr/>
        <a:lstStyle/>
        <a:p>
          <a:endParaRPr lang="fr-FR"/>
        </a:p>
      </dgm:t>
    </dgm:pt>
    <dgm:pt modelId="{18E556ED-9B1F-4D8A-98F4-2C131B8BABEC}" type="pres">
      <dgm:prSet presAssocID="{DB0DDD43-3E42-41DD-B160-816BEB4531E5}" presName="composite" presStyleCnt="0"/>
      <dgm:spPr/>
      <dgm:t>
        <a:bodyPr/>
        <a:lstStyle/>
        <a:p>
          <a:endParaRPr lang="fr-FR"/>
        </a:p>
      </dgm:t>
    </dgm:pt>
    <dgm:pt modelId="{3367E8FF-BBEC-44ED-9B45-50233ED21F38}" type="pres">
      <dgm:prSet presAssocID="{DB0DDD43-3E42-41DD-B160-816BEB4531E5}" presName="FirstChild" presStyleLbl="revTx" presStyleIdx="0" presStyleCnt="2" custScaleX="122932" custScaleY="156659" custLinFactNeighborX="-463" custLinFactNeighborY="-28559">
        <dgm:presLayoutVars>
          <dgm:chMax val="0"/>
          <dgm:chPref val="0"/>
          <dgm:bulletEnabled val="1"/>
        </dgm:presLayoutVars>
      </dgm:prSet>
      <dgm:spPr>
        <a:prstGeom prst="rect">
          <a:avLst/>
        </a:prstGeom>
      </dgm:spPr>
      <dgm:t>
        <a:bodyPr/>
        <a:lstStyle/>
        <a:p>
          <a:endParaRPr lang="fr-FR"/>
        </a:p>
      </dgm:t>
    </dgm:pt>
    <dgm:pt modelId="{247F3F79-6E25-4CA9-8B0E-FAEB3C894FC7}" type="pres">
      <dgm:prSet presAssocID="{DB0DDD43-3E42-41DD-B160-816BEB4531E5}" presName="Parent" presStyleLbl="alignNode1" presStyleIdx="0" presStyleCnt="1" custScaleX="44153" custScaleY="165068" custLinFactNeighborX="-11606" custLinFactNeighborY="-36526">
        <dgm:presLayoutVars>
          <dgm:chMax val="3"/>
          <dgm:chPref val="3"/>
          <dgm:bulletEnabled val="1"/>
        </dgm:presLayoutVars>
      </dgm:prSet>
      <dgm:spPr>
        <a:prstGeom prst="round2SameRect">
          <a:avLst>
            <a:gd name="adj1" fmla="val 16670"/>
            <a:gd name="adj2" fmla="val 0"/>
          </a:avLst>
        </a:prstGeom>
      </dgm:spPr>
      <dgm:t>
        <a:bodyPr/>
        <a:lstStyle/>
        <a:p>
          <a:endParaRPr lang="fr-FR"/>
        </a:p>
      </dgm:t>
    </dgm:pt>
    <dgm:pt modelId="{04B4ABB5-84D6-4E97-93D7-6618614B7D2F}" type="pres">
      <dgm:prSet presAssocID="{DB0DDD43-3E42-41DD-B160-816BEB4531E5}" presName="Accent" presStyleLbl="parChTrans1D1" presStyleIdx="0" presStyleCnt="1" custLinFactNeighborX="4242"/>
      <dgm:spPr>
        <a:xfrm>
          <a:off x="-111923" y="453779"/>
          <a:ext cx="5760720" cy="0"/>
        </a:xfrm>
        <a:prstGeom prst="line">
          <a:avLst/>
        </a:prstGeom>
        <a:noFill/>
        <a:ln w="25400" cap="flat" cmpd="sng" algn="ctr">
          <a:solidFill>
            <a:srgbClr val="4F81BD">
              <a:shade val="60000"/>
              <a:hueOff val="0"/>
              <a:satOff val="0"/>
              <a:lumOff val="0"/>
              <a:alphaOff val="0"/>
            </a:srgbClr>
          </a:solidFill>
          <a:prstDash val="solid"/>
        </a:ln>
        <a:effectLst/>
      </dgm:spPr>
      <dgm:t>
        <a:bodyPr/>
        <a:lstStyle/>
        <a:p>
          <a:endParaRPr lang="fr-FR"/>
        </a:p>
      </dgm:t>
    </dgm:pt>
    <dgm:pt modelId="{E8AB1E02-C604-4BCD-B4C7-395E4A57BD61}" type="pres">
      <dgm:prSet presAssocID="{DB0DDD43-3E42-41DD-B160-816BEB4531E5}" presName="Child" presStyleLbl="revTx" presStyleIdx="1" presStyleCnt="2" custFlipVert="1" custScaleY="6750">
        <dgm:presLayoutVars>
          <dgm:chMax val="0"/>
          <dgm:chPref val="0"/>
          <dgm:bulletEnabled val="1"/>
        </dgm:presLayoutVars>
      </dgm:prSet>
      <dgm:spPr>
        <a:prstGeom prst="rect">
          <a:avLst/>
        </a:prstGeom>
      </dgm:spPr>
      <dgm:t>
        <a:bodyPr/>
        <a:lstStyle/>
        <a:p>
          <a:endParaRPr lang="fr-FR"/>
        </a:p>
      </dgm:t>
    </dgm:pt>
  </dgm:ptLst>
  <dgm:cxnLst>
    <dgm:cxn modelId="{1840090F-FCD6-44D9-B5D8-18C650DED1D4}" srcId="{DB0DDD43-3E42-41DD-B160-816BEB4531E5}" destId="{F8435DD9-7E46-409A-ADED-3F8BD61CA0E2}" srcOrd="0" destOrd="0" parTransId="{93A07A27-6C53-401E-A3F2-525C626F1483}" sibTransId="{F2859BC6-84DB-4A77-8D26-EF96EC4285F4}"/>
    <dgm:cxn modelId="{5C432A93-F4BC-48F2-A1D5-81A1F52263C2}" type="presOf" srcId="{93B12CCA-E787-4286-803D-8D1C66F9271A}" destId="{A23D58FF-31CC-44D8-B1FE-7955960FB969}" srcOrd="0" destOrd="0" presId="urn:microsoft.com/office/officeart/2011/layout/TabList"/>
    <dgm:cxn modelId="{AF0D4245-8210-49DD-9C17-9F90026A91B0}" srcId="{93B12CCA-E787-4286-803D-8D1C66F9271A}" destId="{DB0DDD43-3E42-41DD-B160-816BEB4531E5}" srcOrd="0" destOrd="0" parTransId="{36EEAA6D-E1E3-438A-A1BA-DBEF38459F4B}" sibTransId="{CFFF2C85-6A86-4D98-AC1F-4A15CF5FBD43}"/>
    <dgm:cxn modelId="{DC23710E-08BD-4CF1-9E77-3AFA17DC59BC}" type="presOf" srcId="{BD38DCE7-F8F9-4F18-8F40-899D9A44141E}" destId="{E8AB1E02-C604-4BCD-B4C7-395E4A57BD61}" srcOrd="0" destOrd="0" presId="urn:microsoft.com/office/officeart/2011/layout/TabList"/>
    <dgm:cxn modelId="{4EA79324-7122-40DB-BD8B-DDB0058196A6}" type="presOf" srcId="{DB0DDD43-3E42-41DD-B160-816BEB4531E5}" destId="{247F3F79-6E25-4CA9-8B0E-FAEB3C894FC7}" srcOrd="0" destOrd="0" presId="urn:microsoft.com/office/officeart/2011/layout/TabList"/>
    <dgm:cxn modelId="{A206468E-26A4-4879-B1D7-72C75F23A456}" srcId="{DB0DDD43-3E42-41DD-B160-816BEB4531E5}" destId="{BD38DCE7-F8F9-4F18-8F40-899D9A44141E}" srcOrd="1" destOrd="0" parTransId="{44B7EF97-6BB1-4945-A109-73827DE88747}" sibTransId="{E15AF197-06F6-4A6D-92FD-57C442D8B56D}"/>
    <dgm:cxn modelId="{DE9DF8AE-6F45-4916-BEA0-119C4A444407}" type="presOf" srcId="{F8435DD9-7E46-409A-ADED-3F8BD61CA0E2}" destId="{3367E8FF-BBEC-44ED-9B45-50233ED21F38}" srcOrd="0" destOrd="0" presId="urn:microsoft.com/office/officeart/2011/layout/TabList"/>
    <dgm:cxn modelId="{C5B3ECD7-FA16-4625-B10C-F6F9B91911EA}" type="presParOf" srcId="{A23D58FF-31CC-44D8-B1FE-7955960FB969}" destId="{18E556ED-9B1F-4D8A-98F4-2C131B8BABEC}" srcOrd="0" destOrd="0" presId="urn:microsoft.com/office/officeart/2011/layout/TabList"/>
    <dgm:cxn modelId="{91762C3B-2DA6-4EDD-BD98-73423F1BBDB8}" type="presParOf" srcId="{18E556ED-9B1F-4D8A-98F4-2C131B8BABEC}" destId="{3367E8FF-BBEC-44ED-9B45-50233ED21F38}" srcOrd="0" destOrd="0" presId="urn:microsoft.com/office/officeart/2011/layout/TabList"/>
    <dgm:cxn modelId="{25732122-C5E4-41F6-8553-1548AE5E8539}" type="presParOf" srcId="{18E556ED-9B1F-4D8A-98F4-2C131B8BABEC}" destId="{247F3F79-6E25-4CA9-8B0E-FAEB3C894FC7}" srcOrd="1" destOrd="0" presId="urn:microsoft.com/office/officeart/2011/layout/TabList"/>
    <dgm:cxn modelId="{6FCE42D7-B890-4A88-9175-148F7EEA8379}" type="presParOf" srcId="{18E556ED-9B1F-4D8A-98F4-2C131B8BABEC}" destId="{04B4ABB5-84D6-4E97-93D7-6618614B7D2F}" srcOrd="2" destOrd="0" presId="urn:microsoft.com/office/officeart/2011/layout/TabList"/>
    <dgm:cxn modelId="{DBF3F1D7-DCA5-4055-B23F-CEC403855130}" type="presParOf" srcId="{A23D58FF-31CC-44D8-B1FE-7955960FB969}" destId="{E8AB1E02-C604-4BCD-B4C7-395E4A57BD61}" srcOrd="1" destOrd="0" presId="urn:microsoft.com/office/officeart/2011/layout/TabList"/>
  </dgm:cxnLst>
  <dgm:bg/>
  <dgm:whole/>
  <dgm:extLst>
    <a:ext uri="http://schemas.microsoft.com/office/drawing/2008/diagram">
      <dsp:dataModelExt xmlns:dsp="http://schemas.microsoft.com/office/drawing/2008/diagram" xmlns="" relId="rId113"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93B12CCA-E787-4286-803D-8D1C66F9271A}" type="doc">
      <dgm:prSet loTypeId="urn:microsoft.com/office/officeart/2011/layout/TabList" loCatId="officeonline" qsTypeId="urn:microsoft.com/office/officeart/2005/8/quickstyle/simple1#18" qsCatId="simple" csTypeId="urn:microsoft.com/office/officeart/2005/8/colors/accent1_2#6" csCatId="accent1" phldr="1"/>
      <dgm:spPr/>
      <dgm:t>
        <a:bodyPr/>
        <a:lstStyle/>
        <a:p>
          <a:endParaRPr lang="fr-FR"/>
        </a:p>
      </dgm:t>
    </dgm:pt>
    <dgm:pt modelId="{DB0DDD43-3E42-41DD-B160-816BEB4531E5}">
      <dgm:prSet phldrT="[Texte]"/>
      <dgm:spPr>
        <a:xfrm>
          <a:off x="7" y="57150"/>
          <a:ext cx="697620" cy="387409"/>
        </a:xfrm>
        <a:solidFill>
          <a:srgbClr val="4F81BD">
            <a:hueOff val="0"/>
            <a:satOff val="0"/>
            <a:lumOff val="0"/>
            <a:alphaOff val="0"/>
          </a:srgbClr>
        </a:solidFill>
        <a:ln w="25400" cap="flat" cmpd="sng" algn="ctr">
          <a:solidFill>
            <a:srgbClr val="4F81BD">
              <a:hueOff val="0"/>
              <a:satOff val="0"/>
              <a:lumOff val="0"/>
              <a:alphaOff val="0"/>
            </a:srgbClr>
          </a:solidFill>
          <a:prstDash val="solid"/>
        </a:ln>
        <a:effectLst/>
      </dgm:spPr>
      <dgm:t>
        <a:bodyPr/>
        <a:lstStyle/>
        <a:p>
          <a:endParaRPr lang="fr-FR">
            <a:solidFill>
              <a:sysClr val="window" lastClr="FFFFFF"/>
            </a:solidFill>
            <a:latin typeface="Calibri"/>
            <a:ea typeface="+mn-ea"/>
            <a:cs typeface="+mn-cs"/>
          </a:endParaRPr>
        </a:p>
      </dgm:t>
    </dgm:pt>
    <dgm:pt modelId="{36EEAA6D-E1E3-438A-A1BA-DBEF38459F4B}" type="parTrans" cxnId="{AF0D4245-8210-49DD-9C17-9F90026A91B0}">
      <dgm:prSet/>
      <dgm:spPr/>
      <dgm:t>
        <a:bodyPr/>
        <a:lstStyle/>
        <a:p>
          <a:endParaRPr lang="fr-FR"/>
        </a:p>
      </dgm:t>
    </dgm:pt>
    <dgm:pt modelId="{CFFF2C85-6A86-4D98-AC1F-4A15CF5FBD43}" type="sibTrans" cxnId="{AF0D4245-8210-49DD-9C17-9F90026A91B0}">
      <dgm:prSet/>
      <dgm:spPr/>
      <dgm:t>
        <a:bodyPr/>
        <a:lstStyle/>
        <a:p>
          <a:endParaRPr lang="fr-FR"/>
        </a:p>
      </dgm:t>
    </dgm:pt>
    <dgm:pt modelId="{F8435DD9-7E46-409A-ADED-3F8BD61CA0E2}">
      <dgm:prSet phldrT="[Texte]" custT="1"/>
      <dgm:spPr>
        <a:xfrm>
          <a:off x="785756" y="85716"/>
          <a:ext cx="5528181" cy="367674"/>
        </a:xfrm>
        <a:noFill/>
        <a:ln>
          <a:noFill/>
        </a:ln>
        <a:effectLst/>
      </dgm:spPr>
      <dgm:t>
        <a:bodyPr/>
        <a:lstStyle/>
        <a:p>
          <a:r>
            <a:rPr lang="fr-FR" sz="1900">
              <a:solidFill>
                <a:sysClr val="windowText" lastClr="000000">
                  <a:hueOff val="0"/>
                  <a:satOff val="0"/>
                  <a:lumOff val="0"/>
                  <a:alphaOff val="0"/>
                </a:sysClr>
              </a:solidFill>
              <a:latin typeface="Calibri"/>
              <a:ea typeface="+mn-ea"/>
              <a:cs typeface="+mn-cs"/>
            </a:rPr>
            <a:t>La diversification possible des clauses sociales </a:t>
          </a:r>
        </a:p>
      </dgm:t>
    </dgm:pt>
    <dgm:pt modelId="{93A07A27-6C53-401E-A3F2-525C626F1483}" type="parTrans" cxnId="{1840090F-FCD6-44D9-B5D8-18C650DED1D4}">
      <dgm:prSet/>
      <dgm:spPr/>
      <dgm:t>
        <a:bodyPr/>
        <a:lstStyle/>
        <a:p>
          <a:endParaRPr lang="fr-FR"/>
        </a:p>
      </dgm:t>
    </dgm:pt>
    <dgm:pt modelId="{F2859BC6-84DB-4A77-8D26-EF96EC4285F4}" type="sibTrans" cxnId="{1840090F-FCD6-44D9-B5D8-18C650DED1D4}">
      <dgm:prSet/>
      <dgm:spPr/>
      <dgm:t>
        <a:bodyPr/>
        <a:lstStyle/>
        <a:p>
          <a:endParaRPr lang="fr-FR"/>
        </a:p>
      </dgm:t>
    </dgm:pt>
    <dgm:pt modelId="{BD38DCE7-F8F9-4F18-8F40-899D9A44141E}">
      <dgm:prSet phldrT="[Texte]"/>
      <dgm:spPr>
        <a:xfrm flipV="1">
          <a:off x="0" y="530285"/>
          <a:ext cx="6076950" cy="31688"/>
        </a:xfrm>
        <a:noFill/>
        <a:ln>
          <a:noFill/>
        </a:ln>
        <a:effectLst/>
      </dgm:spPr>
      <dgm:t>
        <a:bodyPr/>
        <a:lstStyle/>
        <a:p>
          <a:endParaRPr lang="fr-FR" sz="1600">
            <a:solidFill>
              <a:sysClr val="windowText" lastClr="000000">
                <a:hueOff val="0"/>
                <a:satOff val="0"/>
                <a:lumOff val="0"/>
                <a:alphaOff val="0"/>
              </a:sysClr>
            </a:solidFill>
            <a:latin typeface="Calibri"/>
            <a:ea typeface="+mn-ea"/>
            <a:cs typeface="+mn-cs"/>
          </a:endParaRPr>
        </a:p>
      </dgm:t>
    </dgm:pt>
    <dgm:pt modelId="{44B7EF97-6BB1-4945-A109-73827DE88747}" type="parTrans" cxnId="{A206468E-26A4-4879-B1D7-72C75F23A456}">
      <dgm:prSet/>
      <dgm:spPr/>
      <dgm:t>
        <a:bodyPr/>
        <a:lstStyle/>
        <a:p>
          <a:endParaRPr lang="fr-FR"/>
        </a:p>
      </dgm:t>
    </dgm:pt>
    <dgm:pt modelId="{E15AF197-06F6-4A6D-92FD-57C442D8B56D}" type="sibTrans" cxnId="{A206468E-26A4-4879-B1D7-72C75F23A456}">
      <dgm:prSet/>
      <dgm:spPr/>
      <dgm:t>
        <a:bodyPr/>
        <a:lstStyle/>
        <a:p>
          <a:endParaRPr lang="fr-FR"/>
        </a:p>
      </dgm:t>
    </dgm:pt>
    <dgm:pt modelId="{A23D58FF-31CC-44D8-B1FE-7955960FB969}" type="pres">
      <dgm:prSet presAssocID="{93B12CCA-E787-4286-803D-8D1C66F9271A}" presName="Name0" presStyleCnt="0">
        <dgm:presLayoutVars>
          <dgm:chMax/>
          <dgm:chPref val="3"/>
          <dgm:dir/>
          <dgm:animOne val="branch"/>
          <dgm:animLvl val="lvl"/>
        </dgm:presLayoutVars>
      </dgm:prSet>
      <dgm:spPr/>
      <dgm:t>
        <a:bodyPr/>
        <a:lstStyle/>
        <a:p>
          <a:endParaRPr lang="fr-FR"/>
        </a:p>
      </dgm:t>
    </dgm:pt>
    <dgm:pt modelId="{18E556ED-9B1F-4D8A-98F4-2C131B8BABEC}" type="pres">
      <dgm:prSet presAssocID="{DB0DDD43-3E42-41DD-B160-816BEB4531E5}" presName="composite" presStyleCnt="0"/>
      <dgm:spPr/>
      <dgm:t>
        <a:bodyPr/>
        <a:lstStyle/>
        <a:p>
          <a:endParaRPr lang="fr-FR"/>
        </a:p>
      </dgm:t>
    </dgm:pt>
    <dgm:pt modelId="{3367E8FF-BBEC-44ED-9B45-50233ED21F38}" type="pres">
      <dgm:prSet presAssocID="{DB0DDD43-3E42-41DD-B160-816BEB4531E5}" presName="FirstChild" presStyleLbl="revTx" presStyleIdx="0" presStyleCnt="2" custScaleX="122932" custScaleY="156659" custLinFactNeighborX="-463" custLinFactNeighborY="-28559">
        <dgm:presLayoutVars>
          <dgm:chMax val="0"/>
          <dgm:chPref val="0"/>
          <dgm:bulletEnabled val="1"/>
        </dgm:presLayoutVars>
      </dgm:prSet>
      <dgm:spPr>
        <a:prstGeom prst="rect">
          <a:avLst/>
        </a:prstGeom>
      </dgm:spPr>
      <dgm:t>
        <a:bodyPr/>
        <a:lstStyle/>
        <a:p>
          <a:endParaRPr lang="fr-FR"/>
        </a:p>
      </dgm:t>
    </dgm:pt>
    <dgm:pt modelId="{247F3F79-6E25-4CA9-8B0E-FAEB3C894FC7}" type="pres">
      <dgm:prSet presAssocID="{DB0DDD43-3E42-41DD-B160-816BEB4531E5}" presName="Parent" presStyleLbl="alignNode1" presStyleIdx="0" presStyleCnt="1" custScaleX="44153" custScaleY="165068" custLinFactNeighborX="-11606" custLinFactNeighborY="-36526">
        <dgm:presLayoutVars>
          <dgm:chMax val="3"/>
          <dgm:chPref val="3"/>
          <dgm:bulletEnabled val="1"/>
        </dgm:presLayoutVars>
      </dgm:prSet>
      <dgm:spPr>
        <a:prstGeom prst="round2SameRect">
          <a:avLst>
            <a:gd name="adj1" fmla="val 16670"/>
            <a:gd name="adj2" fmla="val 0"/>
          </a:avLst>
        </a:prstGeom>
      </dgm:spPr>
      <dgm:t>
        <a:bodyPr/>
        <a:lstStyle/>
        <a:p>
          <a:endParaRPr lang="fr-FR"/>
        </a:p>
      </dgm:t>
    </dgm:pt>
    <dgm:pt modelId="{04B4ABB5-84D6-4E97-93D7-6618614B7D2F}" type="pres">
      <dgm:prSet presAssocID="{DB0DDD43-3E42-41DD-B160-816BEB4531E5}" presName="Accent" presStyleLbl="parChTrans1D1" presStyleIdx="0" presStyleCnt="1" custLinFactNeighborX="4242"/>
      <dgm:spPr>
        <a:xfrm>
          <a:off x="-25" y="453929"/>
          <a:ext cx="6076950" cy="0"/>
        </a:xfrm>
        <a:prstGeom prst="line">
          <a:avLst/>
        </a:prstGeom>
        <a:noFill/>
        <a:ln w="25400" cap="flat" cmpd="sng" algn="ctr">
          <a:solidFill>
            <a:srgbClr val="4F81BD">
              <a:shade val="60000"/>
              <a:hueOff val="0"/>
              <a:satOff val="0"/>
              <a:lumOff val="0"/>
              <a:alphaOff val="0"/>
            </a:srgbClr>
          </a:solidFill>
          <a:prstDash val="solid"/>
        </a:ln>
        <a:effectLst/>
      </dgm:spPr>
      <dgm:t>
        <a:bodyPr/>
        <a:lstStyle/>
        <a:p>
          <a:endParaRPr lang="fr-FR"/>
        </a:p>
      </dgm:t>
    </dgm:pt>
    <dgm:pt modelId="{E8AB1E02-C604-4BCD-B4C7-395E4A57BD61}" type="pres">
      <dgm:prSet presAssocID="{DB0DDD43-3E42-41DD-B160-816BEB4531E5}" presName="Child" presStyleLbl="revTx" presStyleIdx="1" presStyleCnt="2" custFlipVert="1" custScaleY="6750">
        <dgm:presLayoutVars>
          <dgm:chMax val="0"/>
          <dgm:chPref val="0"/>
          <dgm:bulletEnabled val="1"/>
        </dgm:presLayoutVars>
      </dgm:prSet>
      <dgm:spPr>
        <a:prstGeom prst="rect">
          <a:avLst/>
        </a:prstGeom>
      </dgm:spPr>
      <dgm:t>
        <a:bodyPr/>
        <a:lstStyle/>
        <a:p>
          <a:endParaRPr lang="fr-FR"/>
        </a:p>
      </dgm:t>
    </dgm:pt>
  </dgm:ptLst>
  <dgm:cxnLst>
    <dgm:cxn modelId="{1840090F-FCD6-44D9-B5D8-18C650DED1D4}" srcId="{DB0DDD43-3E42-41DD-B160-816BEB4531E5}" destId="{F8435DD9-7E46-409A-ADED-3F8BD61CA0E2}" srcOrd="0" destOrd="0" parTransId="{93A07A27-6C53-401E-A3F2-525C626F1483}" sibTransId="{F2859BC6-84DB-4A77-8D26-EF96EC4285F4}"/>
    <dgm:cxn modelId="{A47F2D00-F44E-423E-A5BD-A98D01D4D901}" type="presOf" srcId="{BD38DCE7-F8F9-4F18-8F40-899D9A44141E}" destId="{E8AB1E02-C604-4BCD-B4C7-395E4A57BD61}" srcOrd="0" destOrd="0" presId="urn:microsoft.com/office/officeart/2011/layout/TabList"/>
    <dgm:cxn modelId="{AF0D4245-8210-49DD-9C17-9F90026A91B0}" srcId="{93B12CCA-E787-4286-803D-8D1C66F9271A}" destId="{DB0DDD43-3E42-41DD-B160-816BEB4531E5}" srcOrd="0" destOrd="0" parTransId="{36EEAA6D-E1E3-438A-A1BA-DBEF38459F4B}" sibTransId="{CFFF2C85-6A86-4D98-AC1F-4A15CF5FBD43}"/>
    <dgm:cxn modelId="{BF6C1321-CF90-4BDF-843D-030C24C8453C}" type="presOf" srcId="{F8435DD9-7E46-409A-ADED-3F8BD61CA0E2}" destId="{3367E8FF-BBEC-44ED-9B45-50233ED21F38}" srcOrd="0" destOrd="0" presId="urn:microsoft.com/office/officeart/2011/layout/TabList"/>
    <dgm:cxn modelId="{74CFF3DF-FFBA-43C0-8ABC-AD400478390A}" type="presOf" srcId="{93B12CCA-E787-4286-803D-8D1C66F9271A}" destId="{A23D58FF-31CC-44D8-B1FE-7955960FB969}" srcOrd="0" destOrd="0" presId="urn:microsoft.com/office/officeart/2011/layout/TabList"/>
    <dgm:cxn modelId="{333A4433-2ECE-4462-8BB5-DE515F5BDBE4}" type="presOf" srcId="{DB0DDD43-3E42-41DD-B160-816BEB4531E5}" destId="{247F3F79-6E25-4CA9-8B0E-FAEB3C894FC7}" srcOrd="0" destOrd="0" presId="urn:microsoft.com/office/officeart/2011/layout/TabList"/>
    <dgm:cxn modelId="{A206468E-26A4-4879-B1D7-72C75F23A456}" srcId="{DB0DDD43-3E42-41DD-B160-816BEB4531E5}" destId="{BD38DCE7-F8F9-4F18-8F40-899D9A44141E}" srcOrd="1" destOrd="0" parTransId="{44B7EF97-6BB1-4945-A109-73827DE88747}" sibTransId="{E15AF197-06F6-4A6D-92FD-57C442D8B56D}"/>
    <dgm:cxn modelId="{D2081298-0976-47BA-A442-4AD6A583995F}" type="presParOf" srcId="{A23D58FF-31CC-44D8-B1FE-7955960FB969}" destId="{18E556ED-9B1F-4D8A-98F4-2C131B8BABEC}" srcOrd="0" destOrd="0" presId="urn:microsoft.com/office/officeart/2011/layout/TabList"/>
    <dgm:cxn modelId="{A61BDC22-4076-45BB-A4B3-DF404E86E9F3}" type="presParOf" srcId="{18E556ED-9B1F-4D8A-98F4-2C131B8BABEC}" destId="{3367E8FF-BBEC-44ED-9B45-50233ED21F38}" srcOrd="0" destOrd="0" presId="urn:microsoft.com/office/officeart/2011/layout/TabList"/>
    <dgm:cxn modelId="{1DC13370-A3C0-4DC1-A061-D0135FA6E237}" type="presParOf" srcId="{18E556ED-9B1F-4D8A-98F4-2C131B8BABEC}" destId="{247F3F79-6E25-4CA9-8B0E-FAEB3C894FC7}" srcOrd="1" destOrd="0" presId="urn:microsoft.com/office/officeart/2011/layout/TabList"/>
    <dgm:cxn modelId="{C3ADF8D2-FA18-4A72-9022-6D775415F202}" type="presParOf" srcId="{18E556ED-9B1F-4D8A-98F4-2C131B8BABEC}" destId="{04B4ABB5-84D6-4E97-93D7-6618614B7D2F}" srcOrd="2" destOrd="0" presId="urn:microsoft.com/office/officeart/2011/layout/TabList"/>
    <dgm:cxn modelId="{B6D1975A-7067-4F61-9A4F-66B27457A456}" type="presParOf" srcId="{A23D58FF-31CC-44D8-B1FE-7955960FB969}" destId="{E8AB1E02-C604-4BCD-B4C7-395E4A57BD61}" srcOrd="1" destOrd="0" presId="urn:microsoft.com/office/officeart/2011/layout/TabList"/>
  </dgm:cxnLst>
  <dgm:bg/>
  <dgm:whole/>
  <dgm:extLst>
    <a:ext uri="http://schemas.microsoft.com/office/drawing/2008/diagram">
      <dsp:dataModelExt xmlns:dsp="http://schemas.microsoft.com/office/drawing/2008/diagram" xmlns="" relId="rId118"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60D9A13E-F014-494C-B5C5-EE5908B77283}" type="doc">
      <dgm:prSet loTypeId="urn:microsoft.com/office/officeart/2008/layout/PictureAccentList" loCatId="picture" qsTypeId="urn:microsoft.com/office/officeart/2005/8/quickstyle/simple1#19" qsCatId="simple" csTypeId="urn:microsoft.com/office/officeart/2005/8/colors/accent1_2#7" csCatId="accent1" phldr="1"/>
      <dgm:spPr/>
      <dgm:t>
        <a:bodyPr/>
        <a:lstStyle/>
        <a:p>
          <a:endParaRPr lang="fr-FR"/>
        </a:p>
      </dgm:t>
    </dgm:pt>
    <dgm:pt modelId="{46144A80-48A4-4B0F-9C89-FEF914635B87}">
      <dgm:prSet phldrT="[Texte]" custT="1"/>
      <dgm:spPr>
        <a:xfrm>
          <a:off x="123817" y="0"/>
          <a:ext cx="5829314" cy="819150"/>
        </a:xfrm>
        <a:solidFill>
          <a:schemeClr val="accent2"/>
        </a:solidFill>
        <a:ln w="25400" cap="flat" cmpd="sng" algn="ctr">
          <a:solidFill>
            <a:sysClr val="window" lastClr="FFFFFF">
              <a:hueOff val="0"/>
              <a:satOff val="0"/>
              <a:lumOff val="0"/>
              <a:alphaOff val="0"/>
            </a:sysClr>
          </a:solidFill>
          <a:prstDash val="solid"/>
        </a:ln>
        <a:effectLst/>
      </dgm:spPr>
      <dgm:t>
        <a:bodyPr/>
        <a:lstStyle/>
        <a:p>
          <a:pPr algn="l"/>
          <a:r>
            <a:rPr lang="fr-FR" sz="2000" baseline="0">
              <a:solidFill>
                <a:sysClr val="window" lastClr="FFFFFF"/>
              </a:solidFill>
              <a:latin typeface="Calibri"/>
              <a:ea typeface="+mn-ea"/>
              <a:cs typeface="+mn-cs"/>
            </a:rPr>
            <a:t>Les actions connexes développées par le PLIE Bordeaux</a:t>
          </a:r>
        </a:p>
      </dgm:t>
    </dgm:pt>
    <dgm:pt modelId="{203A5878-1B55-4FC8-AD38-B32CEF9146A2}" type="parTrans" cxnId="{800DFD3A-67E9-492D-B573-B79E18A71BBF}">
      <dgm:prSet/>
      <dgm:spPr/>
      <dgm:t>
        <a:bodyPr/>
        <a:lstStyle/>
        <a:p>
          <a:endParaRPr lang="fr-FR"/>
        </a:p>
      </dgm:t>
    </dgm:pt>
    <dgm:pt modelId="{820A5FB6-AD4C-4A63-810F-21D7A345D0F0}" type="sibTrans" cxnId="{800DFD3A-67E9-492D-B573-B79E18A71BBF}">
      <dgm:prSet/>
      <dgm:spPr/>
      <dgm:t>
        <a:bodyPr/>
        <a:lstStyle/>
        <a:p>
          <a:endParaRPr lang="fr-FR"/>
        </a:p>
      </dgm:t>
    </dgm:pt>
    <dgm:pt modelId="{2A627C6C-19F8-4FAB-AB77-B90949D074D1}" type="pres">
      <dgm:prSet presAssocID="{60D9A13E-F014-494C-B5C5-EE5908B77283}" presName="layout" presStyleCnt="0">
        <dgm:presLayoutVars>
          <dgm:chMax/>
          <dgm:chPref/>
          <dgm:dir/>
          <dgm:animOne val="branch"/>
          <dgm:animLvl val="lvl"/>
          <dgm:resizeHandles/>
        </dgm:presLayoutVars>
      </dgm:prSet>
      <dgm:spPr/>
      <dgm:t>
        <a:bodyPr/>
        <a:lstStyle/>
        <a:p>
          <a:endParaRPr lang="fr-FR"/>
        </a:p>
      </dgm:t>
    </dgm:pt>
    <dgm:pt modelId="{72F2A48A-495F-4309-B640-E98576DF3E05}" type="pres">
      <dgm:prSet presAssocID="{46144A80-48A4-4B0F-9C89-FEF914635B87}" presName="root" presStyleCnt="0">
        <dgm:presLayoutVars>
          <dgm:chMax/>
          <dgm:chPref val="4"/>
        </dgm:presLayoutVars>
      </dgm:prSet>
      <dgm:spPr/>
      <dgm:t>
        <a:bodyPr/>
        <a:lstStyle/>
        <a:p>
          <a:endParaRPr lang="fr-FR"/>
        </a:p>
      </dgm:t>
    </dgm:pt>
    <dgm:pt modelId="{D1594577-1ECD-4148-B0E7-6E5A22755D19}" type="pres">
      <dgm:prSet presAssocID="{46144A80-48A4-4B0F-9C89-FEF914635B87}" presName="rootComposite" presStyleCnt="0">
        <dgm:presLayoutVars/>
      </dgm:prSet>
      <dgm:spPr/>
      <dgm:t>
        <a:bodyPr/>
        <a:lstStyle/>
        <a:p>
          <a:endParaRPr lang="fr-FR"/>
        </a:p>
      </dgm:t>
    </dgm:pt>
    <dgm:pt modelId="{C20F34A7-B11F-4B7D-A9B0-87E6D0B23646}" type="pres">
      <dgm:prSet presAssocID="{46144A80-48A4-4B0F-9C89-FEF914635B87}" presName="rootText" presStyleLbl="node0" presStyleIdx="0" presStyleCnt="1" custScaleX="98966" custScaleY="400000">
        <dgm:presLayoutVars>
          <dgm:chMax/>
          <dgm:chPref val="4"/>
        </dgm:presLayoutVars>
      </dgm:prSet>
      <dgm:spPr>
        <a:prstGeom prst="roundRect">
          <a:avLst>
            <a:gd name="adj" fmla="val 10000"/>
          </a:avLst>
        </a:prstGeom>
      </dgm:spPr>
      <dgm:t>
        <a:bodyPr/>
        <a:lstStyle/>
        <a:p>
          <a:endParaRPr lang="fr-FR"/>
        </a:p>
      </dgm:t>
    </dgm:pt>
    <dgm:pt modelId="{6D34F6D7-AC63-4373-B2F1-467E75185EC3}" type="pres">
      <dgm:prSet presAssocID="{46144A80-48A4-4B0F-9C89-FEF914635B87}" presName="childShape" presStyleCnt="0">
        <dgm:presLayoutVars>
          <dgm:chMax val="0"/>
          <dgm:chPref val="0"/>
        </dgm:presLayoutVars>
      </dgm:prSet>
      <dgm:spPr/>
      <dgm:t>
        <a:bodyPr/>
        <a:lstStyle/>
        <a:p>
          <a:endParaRPr lang="fr-FR"/>
        </a:p>
      </dgm:t>
    </dgm:pt>
  </dgm:ptLst>
  <dgm:cxnLst>
    <dgm:cxn modelId="{3B6AB95C-485F-4361-86E7-145678B3940C}" type="presOf" srcId="{46144A80-48A4-4B0F-9C89-FEF914635B87}" destId="{C20F34A7-B11F-4B7D-A9B0-87E6D0B23646}" srcOrd="0" destOrd="0" presId="urn:microsoft.com/office/officeart/2008/layout/PictureAccentList"/>
    <dgm:cxn modelId="{800DFD3A-67E9-492D-B573-B79E18A71BBF}" srcId="{60D9A13E-F014-494C-B5C5-EE5908B77283}" destId="{46144A80-48A4-4B0F-9C89-FEF914635B87}" srcOrd="0" destOrd="0" parTransId="{203A5878-1B55-4FC8-AD38-B32CEF9146A2}" sibTransId="{820A5FB6-AD4C-4A63-810F-21D7A345D0F0}"/>
    <dgm:cxn modelId="{DD2566FF-B427-4B5E-BEB9-227E73AA4EB9}" type="presOf" srcId="{60D9A13E-F014-494C-B5C5-EE5908B77283}" destId="{2A627C6C-19F8-4FAB-AB77-B90949D074D1}" srcOrd="0" destOrd="0" presId="urn:microsoft.com/office/officeart/2008/layout/PictureAccentList"/>
    <dgm:cxn modelId="{309006AE-C8BE-43B5-A85B-73631C16959E}" type="presParOf" srcId="{2A627C6C-19F8-4FAB-AB77-B90949D074D1}" destId="{72F2A48A-495F-4309-B640-E98576DF3E05}" srcOrd="0" destOrd="0" presId="urn:microsoft.com/office/officeart/2008/layout/PictureAccentList"/>
    <dgm:cxn modelId="{0BAC8BC4-96C3-4886-9661-C0F4F77D25B8}" type="presParOf" srcId="{72F2A48A-495F-4309-B640-E98576DF3E05}" destId="{D1594577-1ECD-4148-B0E7-6E5A22755D19}" srcOrd="0" destOrd="0" presId="urn:microsoft.com/office/officeart/2008/layout/PictureAccentList"/>
    <dgm:cxn modelId="{0DF21FA5-A8B8-45EE-AF31-1D6A663DF513}" type="presParOf" srcId="{D1594577-1ECD-4148-B0E7-6E5A22755D19}" destId="{C20F34A7-B11F-4B7D-A9B0-87E6D0B23646}" srcOrd="0" destOrd="0" presId="urn:microsoft.com/office/officeart/2008/layout/PictureAccentList"/>
    <dgm:cxn modelId="{95DE179F-DBD5-4649-A20E-9AD3D07427C3}" type="presParOf" srcId="{72F2A48A-495F-4309-B640-E98576DF3E05}" destId="{6D34F6D7-AC63-4373-B2F1-467E75185EC3}" srcOrd="1" destOrd="0" presId="urn:microsoft.com/office/officeart/2008/layout/PictureAccentList"/>
  </dgm:cxnLst>
  <dgm:bg>
    <a:noFill/>
  </dgm:bg>
  <dgm:whole/>
  <dgm:extLst>
    <a:ext uri="http://schemas.microsoft.com/office/drawing/2008/diagram">
      <dsp:dataModelExt xmlns:dsp="http://schemas.microsoft.com/office/drawing/2008/diagram" xmlns="" relId="rId1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0D9A13E-F014-494C-B5C5-EE5908B77283}" type="doc">
      <dgm:prSet loTypeId="urn:microsoft.com/office/officeart/2008/layout/PictureAccentList" loCatId="picture" qsTypeId="urn:microsoft.com/office/officeart/2005/8/quickstyle/simple1#2" qsCatId="simple" csTypeId="urn:microsoft.com/office/officeart/2005/8/colors/colorful2" csCatId="colorful" phldr="1"/>
      <dgm:spPr/>
      <dgm:t>
        <a:bodyPr/>
        <a:lstStyle/>
        <a:p>
          <a:endParaRPr lang="fr-FR"/>
        </a:p>
      </dgm:t>
    </dgm:pt>
    <dgm:pt modelId="{122C711C-9CA3-4650-9184-870272AAFFD5}">
      <dgm:prSet/>
      <dgm:spPr>
        <a:xfrm>
          <a:off x="666755" y="1317839"/>
          <a:ext cx="5648319" cy="610595"/>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r>
            <a:rPr lang="fr-FR">
              <a:solidFill>
                <a:sysClr val="window" lastClr="FFFFFF"/>
              </a:solidFill>
              <a:latin typeface="Calibri"/>
              <a:ea typeface="+mn-ea"/>
              <a:cs typeface="+mn-cs"/>
            </a:rPr>
            <a:t>Rappel des missions du PLIE de Bordeaux : guichet unique territoriale de gestion des clauses sociales</a:t>
          </a:r>
        </a:p>
      </dgm:t>
    </dgm:pt>
    <dgm:pt modelId="{20B31F70-553E-4833-8D43-E900AE339587}" type="sibTrans" cxnId="{8A085C07-0B37-4A5A-BE5F-9A0B688339EB}">
      <dgm:prSet/>
      <dgm:spPr/>
      <dgm:t>
        <a:bodyPr/>
        <a:lstStyle/>
        <a:p>
          <a:endParaRPr lang="fr-FR"/>
        </a:p>
      </dgm:t>
    </dgm:pt>
    <dgm:pt modelId="{7E35F97B-C081-405F-B4A2-5175BFB3417E}" type="parTrans" cxnId="{8A085C07-0B37-4A5A-BE5F-9A0B688339EB}">
      <dgm:prSet/>
      <dgm:spPr/>
      <dgm:t>
        <a:bodyPr/>
        <a:lstStyle/>
        <a:p>
          <a:endParaRPr lang="fr-FR"/>
        </a:p>
      </dgm:t>
    </dgm:pt>
    <dgm:pt modelId="{2A627C6C-19F8-4FAB-AB77-B90949D074D1}" type="pres">
      <dgm:prSet presAssocID="{60D9A13E-F014-494C-B5C5-EE5908B77283}" presName="layout" presStyleCnt="0">
        <dgm:presLayoutVars>
          <dgm:chMax/>
          <dgm:chPref/>
          <dgm:dir/>
          <dgm:animOne val="branch"/>
          <dgm:animLvl val="lvl"/>
          <dgm:resizeHandles/>
        </dgm:presLayoutVars>
      </dgm:prSet>
      <dgm:spPr/>
      <dgm:t>
        <a:bodyPr/>
        <a:lstStyle/>
        <a:p>
          <a:endParaRPr lang="fr-FR"/>
        </a:p>
      </dgm:t>
    </dgm:pt>
    <dgm:pt modelId="{AD44AFCD-66F5-41A9-9F0F-560B8B6A8C3D}" type="pres">
      <dgm:prSet presAssocID="{122C711C-9CA3-4650-9184-870272AAFFD5}" presName="root" presStyleCnt="0">
        <dgm:presLayoutVars>
          <dgm:chMax/>
          <dgm:chPref val="4"/>
        </dgm:presLayoutVars>
      </dgm:prSet>
      <dgm:spPr/>
    </dgm:pt>
    <dgm:pt modelId="{B6EC7265-B851-49FF-8249-244F7D5A092C}" type="pres">
      <dgm:prSet presAssocID="{122C711C-9CA3-4650-9184-870272AAFFD5}" presName="rootComposite" presStyleCnt="0">
        <dgm:presLayoutVars/>
      </dgm:prSet>
      <dgm:spPr/>
    </dgm:pt>
    <dgm:pt modelId="{4A6D18DC-D2C0-4A03-B933-1272EB360C3E}" type="pres">
      <dgm:prSet presAssocID="{122C711C-9CA3-4650-9184-870272AAFFD5}" presName="rootText" presStyleLbl="node0" presStyleIdx="0" presStyleCnt="1" custScaleY="310344" custLinFactY="-100000" custLinFactNeighborX="7778" custLinFactNeighborY="-144828">
        <dgm:presLayoutVars>
          <dgm:chMax/>
          <dgm:chPref val="4"/>
        </dgm:presLayoutVars>
      </dgm:prSet>
      <dgm:spPr>
        <a:prstGeom prst="roundRect">
          <a:avLst>
            <a:gd name="adj" fmla="val 16670"/>
          </a:avLst>
        </a:prstGeom>
      </dgm:spPr>
      <dgm:t>
        <a:bodyPr/>
        <a:lstStyle/>
        <a:p>
          <a:endParaRPr lang="fr-FR"/>
        </a:p>
      </dgm:t>
    </dgm:pt>
    <dgm:pt modelId="{4D7D3F06-E399-49D9-B930-84B6EEFD46E7}" type="pres">
      <dgm:prSet presAssocID="{122C711C-9CA3-4650-9184-870272AAFFD5}" presName="childShape" presStyleCnt="0">
        <dgm:presLayoutVars>
          <dgm:chMax val="0"/>
          <dgm:chPref val="0"/>
        </dgm:presLayoutVars>
      </dgm:prSet>
      <dgm:spPr/>
    </dgm:pt>
  </dgm:ptLst>
  <dgm:cxnLst>
    <dgm:cxn modelId="{79F72DDF-006E-4F89-A233-6F51A05CA1F9}" type="presOf" srcId="{122C711C-9CA3-4650-9184-870272AAFFD5}" destId="{4A6D18DC-D2C0-4A03-B933-1272EB360C3E}" srcOrd="0" destOrd="0" presId="urn:microsoft.com/office/officeart/2008/layout/PictureAccentList"/>
    <dgm:cxn modelId="{8A085C07-0B37-4A5A-BE5F-9A0B688339EB}" srcId="{60D9A13E-F014-494C-B5C5-EE5908B77283}" destId="{122C711C-9CA3-4650-9184-870272AAFFD5}" srcOrd="0" destOrd="0" parTransId="{7E35F97B-C081-405F-B4A2-5175BFB3417E}" sibTransId="{20B31F70-553E-4833-8D43-E900AE339587}"/>
    <dgm:cxn modelId="{E9795D8B-953B-48B0-9611-A5E75C4D059A}" type="presOf" srcId="{60D9A13E-F014-494C-B5C5-EE5908B77283}" destId="{2A627C6C-19F8-4FAB-AB77-B90949D074D1}" srcOrd="0" destOrd="0" presId="urn:microsoft.com/office/officeart/2008/layout/PictureAccentList"/>
    <dgm:cxn modelId="{C2A806AD-B7B1-4D72-BDA2-97BD34B0C6CA}" type="presParOf" srcId="{2A627C6C-19F8-4FAB-AB77-B90949D074D1}" destId="{AD44AFCD-66F5-41A9-9F0F-560B8B6A8C3D}" srcOrd="0" destOrd="0" presId="urn:microsoft.com/office/officeart/2008/layout/PictureAccentList"/>
    <dgm:cxn modelId="{F24F5252-10D3-4386-84D4-230EC3AFFAB5}" type="presParOf" srcId="{AD44AFCD-66F5-41A9-9F0F-560B8B6A8C3D}" destId="{B6EC7265-B851-49FF-8249-244F7D5A092C}" srcOrd="0" destOrd="0" presId="urn:microsoft.com/office/officeart/2008/layout/PictureAccentList"/>
    <dgm:cxn modelId="{8441A483-085E-4E76-AC0E-4255F97E25C3}" type="presParOf" srcId="{B6EC7265-B851-49FF-8249-244F7D5A092C}" destId="{4A6D18DC-D2C0-4A03-B933-1272EB360C3E}" srcOrd="0" destOrd="0" presId="urn:microsoft.com/office/officeart/2008/layout/PictureAccentList"/>
    <dgm:cxn modelId="{7BA9D488-9063-48DF-AEC7-BC9E4406E6AB}" type="presParOf" srcId="{AD44AFCD-66F5-41A9-9F0F-560B8B6A8C3D}" destId="{4D7D3F06-E399-49D9-B930-84B6EEFD46E7}" srcOrd="1" destOrd="0" presId="urn:microsoft.com/office/officeart/2008/layout/PictureAccentList"/>
  </dgm:cxnLst>
  <dgm:bg/>
  <dgm:whole/>
  <dgm:extLst>
    <a:ext uri="http://schemas.microsoft.com/office/drawing/2008/diagram">
      <dsp:dataModelExt xmlns:dsp="http://schemas.microsoft.com/office/drawing/2008/diagram" xmlns="" relId="rId21"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93B12CCA-E787-4286-803D-8D1C66F9271A}" type="doc">
      <dgm:prSet loTypeId="urn:microsoft.com/office/officeart/2011/layout/TabList" loCatId="officeonline" qsTypeId="urn:microsoft.com/office/officeart/2005/8/quickstyle/simple1#20" qsCatId="simple" csTypeId="urn:microsoft.com/office/officeart/2005/8/colors/accent2_5" csCatId="accent2" phldr="1"/>
      <dgm:spPr/>
      <dgm:t>
        <a:bodyPr/>
        <a:lstStyle/>
        <a:p>
          <a:endParaRPr lang="fr-FR"/>
        </a:p>
      </dgm:t>
    </dgm:pt>
    <dgm:pt modelId="{DB0DDD43-3E42-41DD-B160-816BEB4531E5}">
      <dgm:prSet phldrT="[Texte]"/>
      <dgm:spPr>
        <a:xfrm>
          <a:off x="9518" y="123825"/>
          <a:ext cx="674658" cy="349309"/>
        </a:xfrm>
      </dgm:spPr>
      <dgm:t>
        <a:bodyPr/>
        <a:lstStyle/>
        <a:p>
          <a:endParaRPr lang="fr-FR">
            <a:solidFill>
              <a:sysClr val="window" lastClr="FFFFFF"/>
            </a:solidFill>
            <a:latin typeface="Calibri"/>
            <a:ea typeface="+mn-ea"/>
            <a:cs typeface="+mn-cs"/>
          </a:endParaRPr>
        </a:p>
      </dgm:t>
    </dgm:pt>
    <dgm:pt modelId="{36EEAA6D-E1E3-438A-A1BA-DBEF38459F4B}" type="parTrans" cxnId="{AF0D4245-8210-49DD-9C17-9F90026A91B0}">
      <dgm:prSet/>
      <dgm:spPr/>
      <dgm:t>
        <a:bodyPr/>
        <a:lstStyle/>
        <a:p>
          <a:endParaRPr lang="fr-FR"/>
        </a:p>
      </dgm:t>
    </dgm:pt>
    <dgm:pt modelId="{CFFF2C85-6A86-4D98-AC1F-4A15CF5FBD43}" type="sibTrans" cxnId="{AF0D4245-8210-49DD-9C17-9F90026A91B0}">
      <dgm:prSet/>
      <dgm:spPr/>
      <dgm:t>
        <a:bodyPr/>
        <a:lstStyle/>
        <a:p>
          <a:endParaRPr lang="fr-FR"/>
        </a:p>
      </dgm:t>
    </dgm:pt>
    <dgm:pt modelId="{F8435DD9-7E46-409A-ADED-3F8BD61CA0E2}">
      <dgm:prSet phldrT="[Texte]"/>
      <dgm:spPr>
        <a:xfrm>
          <a:off x="863724" y="95249"/>
          <a:ext cx="4805648" cy="367674"/>
        </a:xfrm>
      </dgm:spPr>
      <dgm:t>
        <a:bodyPr/>
        <a:lstStyle/>
        <a:p>
          <a:r>
            <a:rPr lang="fr-FR">
              <a:latin typeface="Calibri"/>
              <a:ea typeface="+mn-ea"/>
              <a:cs typeface="+mn-cs"/>
            </a:rPr>
            <a:t>Développement d'outils au service des publics</a:t>
          </a:r>
        </a:p>
      </dgm:t>
    </dgm:pt>
    <dgm:pt modelId="{93A07A27-6C53-401E-A3F2-525C626F1483}" type="parTrans" cxnId="{1840090F-FCD6-44D9-B5D8-18C650DED1D4}">
      <dgm:prSet/>
      <dgm:spPr/>
      <dgm:t>
        <a:bodyPr/>
        <a:lstStyle/>
        <a:p>
          <a:endParaRPr lang="fr-FR"/>
        </a:p>
      </dgm:t>
    </dgm:pt>
    <dgm:pt modelId="{F2859BC6-84DB-4A77-8D26-EF96EC4285F4}" type="sibTrans" cxnId="{1840090F-FCD6-44D9-B5D8-18C650DED1D4}">
      <dgm:prSet/>
      <dgm:spPr/>
      <dgm:t>
        <a:bodyPr/>
        <a:lstStyle/>
        <a:p>
          <a:endParaRPr lang="fr-FR"/>
        </a:p>
      </dgm:t>
    </dgm:pt>
    <dgm:pt modelId="{BD38DCE7-F8F9-4F18-8F40-899D9A44141E}">
      <dgm:prSet phldrT="[Texte]"/>
      <dgm:spPr>
        <a:xfrm flipV="1">
          <a:off x="0" y="520417"/>
          <a:ext cx="5876925" cy="31688"/>
        </a:xfrm>
      </dgm:spPr>
      <dgm:t>
        <a:bodyPr/>
        <a:lstStyle/>
        <a:p>
          <a:endParaRPr lang="fr-FR" sz="1600">
            <a:solidFill>
              <a:sysClr val="windowText" lastClr="000000">
                <a:hueOff val="0"/>
                <a:satOff val="0"/>
                <a:lumOff val="0"/>
                <a:alphaOff val="0"/>
              </a:sysClr>
            </a:solidFill>
            <a:latin typeface="Calibri"/>
            <a:ea typeface="+mn-ea"/>
            <a:cs typeface="+mn-cs"/>
          </a:endParaRPr>
        </a:p>
      </dgm:t>
    </dgm:pt>
    <dgm:pt modelId="{44B7EF97-6BB1-4945-A109-73827DE88747}" type="parTrans" cxnId="{A206468E-26A4-4879-B1D7-72C75F23A456}">
      <dgm:prSet/>
      <dgm:spPr/>
      <dgm:t>
        <a:bodyPr/>
        <a:lstStyle/>
        <a:p>
          <a:endParaRPr lang="fr-FR"/>
        </a:p>
      </dgm:t>
    </dgm:pt>
    <dgm:pt modelId="{E15AF197-06F6-4A6D-92FD-57C442D8B56D}" type="sibTrans" cxnId="{A206468E-26A4-4879-B1D7-72C75F23A456}">
      <dgm:prSet/>
      <dgm:spPr/>
      <dgm:t>
        <a:bodyPr/>
        <a:lstStyle/>
        <a:p>
          <a:endParaRPr lang="fr-FR"/>
        </a:p>
      </dgm:t>
    </dgm:pt>
    <dgm:pt modelId="{A23D58FF-31CC-44D8-B1FE-7955960FB969}" type="pres">
      <dgm:prSet presAssocID="{93B12CCA-E787-4286-803D-8D1C66F9271A}" presName="Name0" presStyleCnt="0">
        <dgm:presLayoutVars>
          <dgm:chMax/>
          <dgm:chPref val="3"/>
          <dgm:dir/>
          <dgm:animOne val="branch"/>
          <dgm:animLvl val="lvl"/>
        </dgm:presLayoutVars>
      </dgm:prSet>
      <dgm:spPr/>
      <dgm:t>
        <a:bodyPr/>
        <a:lstStyle/>
        <a:p>
          <a:endParaRPr lang="fr-FR"/>
        </a:p>
      </dgm:t>
    </dgm:pt>
    <dgm:pt modelId="{18E556ED-9B1F-4D8A-98F4-2C131B8BABEC}" type="pres">
      <dgm:prSet presAssocID="{DB0DDD43-3E42-41DD-B160-816BEB4531E5}" presName="composite" presStyleCnt="0"/>
      <dgm:spPr/>
      <dgm:t>
        <a:bodyPr/>
        <a:lstStyle/>
        <a:p>
          <a:endParaRPr lang="fr-FR"/>
        </a:p>
      </dgm:t>
    </dgm:pt>
    <dgm:pt modelId="{3367E8FF-BBEC-44ED-9B45-50233ED21F38}" type="pres">
      <dgm:prSet presAssocID="{DB0DDD43-3E42-41DD-B160-816BEB4531E5}" presName="FirstChild" presStyleLbl="revTx" presStyleIdx="0" presStyleCnt="2" custScaleX="110502" custScaleY="156659" custLinFactNeighborX="-7398" custLinFactNeighborY="-24497">
        <dgm:presLayoutVars>
          <dgm:chMax val="0"/>
          <dgm:chPref val="0"/>
          <dgm:bulletEnabled val="1"/>
        </dgm:presLayoutVars>
      </dgm:prSet>
      <dgm:spPr>
        <a:prstGeom prst="rect">
          <a:avLst/>
        </a:prstGeom>
      </dgm:spPr>
      <dgm:t>
        <a:bodyPr/>
        <a:lstStyle/>
        <a:p>
          <a:endParaRPr lang="fr-FR"/>
        </a:p>
      </dgm:t>
    </dgm:pt>
    <dgm:pt modelId="{247F3F79-6E25-4CA9-8B0E-FAEB3C894FC7}" type="pres">
      <dgm:prSet presAssocID="{DB0DDD43-3E42-41DD-B160-816BEB4531E5}" presName="Parent" presStyleLbl="alignNode1" presStyleIdx="0" presStyleCnt="1" custScaleX="44153" custScaleY="148834" custLinFactNeighborX="-19828" custLinFactNeighborY="-16234">
        <dgm:presLayoutVars>
          <dgm:chMax val="3"/>
          <dgm:chPref val="3"/>
          <dgm:bulletEnabled val="1"/>
        </dgm:presLayoutVars>
      </dgm:prSet>
      <dgm:spPr>
        <a:prstGeom prst="round2SameRect">
          <a:avLst>
            <a:gd name="adj1" fmla="val 16670"/>
            <a:gd name="adj2" fmla="val 0"/>
          </a:avLst>
        </a:prstGeom>
      </dgm:spPr>
      <dgm:t>
        <a:bodyPr/>
        <a:lstStyle/>
        <a:p>
          <a:endParaRPr lang="fr-FR"/>
        </a:p>
      </dgm:t>
    </dgm:pt>
    <dgm:pt modelId="{04B4ABB5-84D6-4E97-93D7-6618614B7D2F}" type="pres">
      <dgm:prSet presAssocID="{DB0DDD43-3E42-41DD-B160-816BEB4531E5}" presName="Accent" presStyleLbl="parChTrans1D1" presStyleIdx="0" presStyleCnt="1" custLinFactNeighborX="3402" custLinFactNeighborY="26458"/>
      <dgm:spPr>
        <a:xfrm>
          <a:off x="0" y="463453"/>
          <a:ext cx="5876925" cy="0"/>
        </a:xfrm>
        <a:prstGeom prst="line">
          <a:avLst/>
        </a:prstGeom>
      </dgm:spPr>
      <dgm:t>
        <a:bodyPr/>
        <a:lstStyle/>
        <a:p>
          <a:endParaRPr lang="fr-FR"/>
        </a:p>
      </dgm:t>
    </dgm:pt>
    <dgm:pt modelId="{E8AB1E02-C604-4BCD-B4C7-395E4A57BD61}" type="pres">
      <dgm:prSet presAssocID="{DB0DDD43-3E42-41DD-B160-816BEB4531E5}" presName="Child" presStyleLbl="revTx" presStyleIdx="1" presStyleCnt="2" custFlipVert="1" custScaleY="6750">
        <dgm:presLayoutVars>
          <dgm:chMax val="0"/>
          <dgm:chPref val="0"/>
          <dgm:bulletEnabled val="1"/>
        </dgm:presLayoutVars>
      </dgm:prSet>
      <dgm:spPr>
        <a:prstGeom prst="rect">
          <a:avLst/>
        </a:prstGeom>
      </dgm:spPr>
      <dgm:t>
        <a:bodyPr/>
        <a:lstStyle/>
        <a:p>
          <a:endParaRPr lang="fr-FR"/>
        </a:p>
      </dgm:t>
    </dgm:pt>
  </dgm:ptLst>
  <dgm:cxnLst>
    <dgm:cxn modelId="{1840090F-FCD6-44D9-B5D8-18C650DED1D4}" srcId="{DB0DDD43-3E42-41DD-B160-816BEB4531E5}" destId="{F8435DD9-7E46-409A-ADED-3F8BD61CA0E2}" srcOrd="0" destOrd="0" parTransId="{93A07A27-6C53-401E-A3F2-525C626F1483}" sibTransId="{F2859BC6-84DB-4A77-8D26-EF96EC4285F4}"/>
    <dgm:cxn modelId="{070BFDDD-609D-4837-B4DE-1AE6077DC3B4}" type="presOf" srcId="{F8435DD9-7E46-409A-ADED-3F8BD61CA0E2}" destId="{3367E8FF-BBEC-44ED-9B45-50233ED21F38}" srcOrd="0" destOrd="0" presId="urn:microsoft.com/office/officeart/2011/layout/TabList"/>
    <dgm:cxn modelId="{AF0D4245-8210-49DD-9C17-9F90026A91B0}" srcId="{93B12CCA-E787-4286-803D-8D1C66F9271A}" destId="{DB0DDD43-3E42-41DD-B160-816BEB4531E5}" srcOrd="0" destOrd="0" parTransId="{36EEAA6D-E1E3-438A-A1BA-DBEF38459F4B}" sibTransId="{CFFF2C85-6A86-4D98-AC1F-4A15CF5FBD43}"/>
    <dgm:cxn modelId="{D4DBF364-8DC8-4554-ADAE-5E80F44D01AF}" type="presOf" srcId="{DB0DDD43-3E42-41DD-B160-816BEB4531E5}" destId="{247F3F79-6E25-4CA9-8B0E-FAEB3C894FC7}" srcOrd="0" destOrd="0" presId="urn:microsoft.com/office/officeart/2011/layout/TabList"/>
    <dgm:cxn modelId="{77AD46D2-7E78-4FF3-A18A-E84643F5C9CB}" type="presOf" srcId="{BD38DCE7-F8F9-4F18-8F40-899D9A44141E}" destId="{E8AB1E02-C604-4BCD-B4C7-395E4A57BD61}" srcOrd="0" destOrd="0" presId="urn:microsoft.com/office/officeart/2011/layout/TabList"/>
    <dgm:cxn modelId="{843403CF-A96F-4022-B2EF-D186B0B482B4}" type="presOf" srcId="{93B12CCA-E787-4286-803D-8D1C66F9271A}" destId="{A23D58FF-31CC-44D8-B1FE-7955960FB969}" srcOrd="0" destOrd="0" presId="urn:microsoft.com/office/officeart/2011/layout/TabList"/>
    <dgm:cxn modelId="{A206468E-26A4-4879-B1D7-72C75F23A456}" srcId="{DB0DDD43-3E42-41DD-B160-816BEB4531E5}" destId="{BD38DCE7-F8F9-4F18-8F40-899D9A44141E}" srcOrd="1" destOrd="0" parTransId="{44B7EF97-6BB1-4945-A109-73827DE88747}" sibTransId="{E15AF197-06F6-4A6D-92FD-57C442D8B56D}"/>
    <dgm:cxn modelId="{B1C25DC2-F151-4308-9C6E-00165900A3E8}" type="presParOf" srcId="{A23D58FF-31CC-44D8-B1FE-7955960FB969}" destId="{18E556ED-9B1F-4D8A-98F4-2C131B8BABEC}" srcOrd="0" destOrd="0" presId="urn:microsoft.com/office/officeart/2011/layout/TabList"/>
    <dgm:cxn modelId="{F27D0332-AB7E-4461-B979-70135556D2E8}" type="presParOf" srcId="{18E556ED-9B1F-4D8A-98F4-2C131B8BABEC}" destId="{3367E8FF-BBEC-44ED-9B45-50233ED21F38}" srcOrd="0" destOrd="0" presId="urn:microsoft.com/office/officeart/2011/layout/TabList"/>
    <dgm:cxn modelId="{1172C7F1-D5BC-4A7F-966D-51E355943F3D}" type="presParOf" srcId="{18E556ED-9B1F-4D8A-98F4-2C131B8BABEC}" destId="{247F3F79-6E25-4CA9-8B0E-FAEB3C894FC7}" srcOrd="1" destOrd="0" presId="urn:microsoft.com/office/officeart/2011/layout/TabList"/>
    <dgm:cxn modelId="{92778B94-3B17-4EB1-AE8A-B4AB0851C369}" type="presParOf" srcId="{18E556ED-9B1F-4D8A-98F4-2C131B8BABEC}" destId="{04B4ABB5-84D6-4E97-93D7-6618614B7D2F}" srcOrd="2" destOrd="0" presId="urn:microsoft.com/office/officeart/2011/layout/TabList"/>
    <dgm:cxn modelId="{E01DC849-7A46-4AA3-BDC6-5DD320751241}" type="presParOf" srcId="{A23D58FF-31CC-44D8-B1FE-7955960FB969}" destId="{E8AB1E02-C604-4BCD-B4C7-395E4A57BD61}" srcOrd="1" destOrd="0" presId="urn:microsoft.com/office/officeart/2011/layout/TabList"/>
  </dgm:cxnLst>
  <dgm:bg/>
  <dgm:whole/>
  <dgm:extLst>
    <a:ext uri="http://schemas.microsoft.com/office/drawing/2008/diagram">
      <dsp:dataModelExt xmlns:dsp="http://schemas.microsoft.com/office/drawing/2008/diagram" xmlns="" relId="rId1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0D9A13E-F014-494C-B5C5-EE5908B77283}" type="doc">
      <dgm:prSet loTypeId="urn:microsoft.com/office/officeart/2008/layout/PictureAccentList" loCatId="picture" qsTypeId="urn:microsoft.com/office/officeart/2005/8/quickstyle/simple1#3" qsCatId="simple" csTypeId="urn:microsoft.com/office/officeart/2005/8/colors/accent3_2" csCatId="accent3" phldr="1"/>
      <dgm:spPr/>
      <dgm:t>
        <a:bodyPr/>
        <a:lstStyle/>
        <a:p>
          <a:endParaRPr lang="fr-FR"/>
        </a:p>
      </dgm:t>
    </dgm:pt>
    <dgm:pt modelId="{46144A80-48A4-4B0F-9C89-FEF914635B87}">
      <dgm:prSet phldrT="[Texte]" custT="1"/>
      <dgm:spPr>
        <a:xfrm>
          <a:off x="641580" y="1974444"/>
          <a:ext cx="5673494" cy="546270"/>
        </a:xfrm>
      </dgm:spPr>
      <dgm:t>
        <a:bodyPr/>
        <a:lstStyle/>
        <a:p>
          <a:pPr algn="l"/>
          <a:r>
            <a:rPr lang="fr-FR" sz="2000" baseline="0">
              <a:latin typeface="Calibri"/>
              <a:ea typeface="+mn-ea"/>
              <a:cs typeface="+mn-cs"/>
            </a:rPr>
            <a:t>La mise en oeuvre quantitative des clauses sociales</a:t>
          </a:r>
        </a:p>
      </dgm:t>
    </dgm:pt>
    <dgm:pt modelId="{203A5878-1B55-4FC8-AD38-B32CEF9146A2}" type="parTrans" cxnId="{800DFD3A-67E9-492D-B573-B79E18A71BBF}">
      <dgm:prSet/>
      <dgm:spPr/>
      <dgm:t>
        <a:bodyPr/>
        <a:lstStyle/>
        <a:p>
          <a:endParaRPr lang="fr-FR"/>
        </a:p>
      </dgm:t>
    </dgm:pt>
    <dgm:pt modelId="{820A5FB6-AD4C-4A63-810F-21D7A345D0F0}" type="sibTrans" cxnId="{800DFD3A-67E9-492D-B573-B79E18A71BBF}">
      <dgm:prSet/>
      <dgm:spPr/>
      <dgm:t>
        <a:bodyPr/>
        <a:lstStyle/>
        <a:p>
          <a:endParaRPr lang="fr-FR"/>
        </a:p>
      </dgm:t>
    </dgm:pt>
    <dgm:pt modelId="{2A627C6C-19F8-4FAB-AB77-B90949D074D1}" type="pres">
      <dgm:prSet presAssocID="{60D9A13E-F014-494C-B5C5-EE5908B77283}" presName="layout" presStyleCnt="0">
        <dgm:presLayoutVars>
          <dgm:chMax/>
          <dgm:chPref/>
          <dgm:dir/>
          <dgm:animOne val="branch"/>
          <dgm:animLvl val="lvl"/>
          <dgm:resizeHandles/>
        </dgm:presLayoutVars>
      </dgm:prSet>
      <dgm:spPr/>
      <dgm:t>
        <a:bodyPr/>
        <a:lstStyle/>
        <a:p>
          <a:endParaRPr lang="fr-FR"/>
        </a:p>
      </dgm:t>
    </dgm:pt>
    <dgm:pt modelId="{72F2A48A-495F-4309-B640-E98576DF3E05}" type="pres">
      <dgm:prSet presAssocID="{46144A80-48A4-4B0F-9C89-FEF914635B87}" presName="root" presStyleCnt="0">
        <dgm:presLayoutVars>
          <dgm:chMax/>
          <dgm:chPref val="4"/>
        </dgm:presLayoutVars>
      </dgm:prSet>
      <dgm:spPr/>
      <dgm:t>
        <a:bodyPr/>
        <a:lstStyle/>
        <a:p>
          <a:endParaRPr lang="fr-FR"/>
        </a:p>
      </dgm:t>
    </dgm:pt>
    <dgm:pt modelId="{D1594577-1ECD-4148-B0E7-6E5A22755D19}" type="pres">
      <dgm:prSet presAssocID="{46144A80-48A4-4B0F-9C89-FEF914635B87}" presName="rootComposite" presStyleCnt="0">
        <dgm:presLayoutVars/>
      </dgm:prSet>
      <dgm:spPr/>
      <dgm:t>
        <a:bodyPr/>
        <a:lstStyle/>
        <a:p>
          <a:endParaRPr lang="fr-FR"/>
        </a:p>
      </dgm:t>
    </dgm:pt>
    <dgm:pt modelId="{C20F34A7-B11F-4B7D-A9B0-87E6D0B23646}" type="pres">
      <dgm:prSet presAssocID="{46144A80-48A4-4B0F-9C89-FEF914635B87}" presName="rootText" presStyleLbl="node0" presStyleIdx="0" presStyleCnt="1" custScaleX="95925" custScaleY="400000">
        <dgm:presLayoutVars>
          <dgm:chMax/>
          <dgm:chPref val="4"/>
        </dgm:presLayoutVars>
      </dgm:prSet>
      <dgm:spPr/>
      <dgm:t>
        <a:bodyPr/>
        <a:lstStyle/>
        <a:p>
          <a:endParaRPr lang="fr-FR"/>
        </a:p>
      </dgm:t>
    </dgm:pt>
    <dgm:pt modelId="{6D34F6D7-AC63-4373-B2F1-467E75185EC3}" type="pres">
      <dgm:prSet presAssocID="{46144A80-48A4-4B0F-9C89-FEF914635B87}" presName="childShape" presStyleCnt="0">
        <dgm:presLayoutVars>
          <dgm:chMax val="0"/>
          <dgm:chPref val="0"/>
        </dgm:presLayoutVars>
      </dgm:prSet>
      <dgm:spPr/>
      <dgm:t>
        <a:bodyPr/>
        <a:lstStyle/>
        <a:p>
          <a:endParaRPr lang="fr-FR"/>
        </a:p>
      </dgm:t>
    </dgm:pt>
  </dgm:ptLst>
  <dgm:cxnLst>
    <dgm:cxn modelId="{02EC1BA1-A1AB-45F9-93D8-E19CCA574DF5}" type="presOf" srcId="{46144A80-48A4-4B0F-9C89-FEF914635B87}" destId="{C20F34A7-B11F-4B7D-A9B0-87E6D0B23646}" srcOrd="0" destOrd="0" presId="urn:microsoft.com/office/officeart/2008/layout/PictureAccentList"/>
    <dgm:cxn modelId="{B50370F1-BE9B-4516-84BE-01DE9D890D5D}" type="presOf" srcId="{60D9A13E-F014-494C-B5C5-EE5908B77283}" destId="{2A627C6C-19F8-4FAB-AB77-B90949D074D1}" srcOrd="0" destOrd="0" presId="urn:microsoft.com/office/officeart/2008/layout/PictureAccentList"/>
    <dgm:cxn modelId="{800DFD3A-67E9-492D-B573-B79E18A71BBF}" srcId="{60D9A13E-F014-494C-B5C5-EE5908B77283}" destId="{46144A80-48A4-4B0F-9C89-FEF914635B87}" srcOrd="0" destOrd="0" parTransId="{203A5878-1B55-4FC8-AD38-B32CEF9146A2}" sibTransId="{820A5FB6-AD4C-4A63-810F-21D7A345D0F0}"/>
    <dgm:cxn modelId="{E5BE1A3E-C156-4794-9EDC-0DF68A172852}" type="presParOf" srcId="{2A627C6C-19F8-4FAB-AB77-B90949D074D1}" destId="{72F2A48A-495F-4309-B640-E98576DF3E05}" srcOrd="0" destOrd="0" presId="urn:microsoft.com/office/officeart/2008/layout/PictureAccentList"/>
    <dgm:cxn modelId="{EEFE9096-E15B-4BCB-8202-1821066B1253}" type="presParOf" srcId="{72F2A48A-495F-4309-B640-E98576DF3E05}" destId="{D1594577-1ECD-4148-B0E7-6E5A22755D19}" srcOrd="0" destOrd="0" presId="urn:microsoft.com/office/officeart/2008/layout/PictureAccentList"/>
    <dgm:cxn modelId="{B008289E-A726-4E34-B7F5-790B6ED5302B}" type="presParOf" srcId="{D1594577-1ECD-4148-B0E7-6E5A22755D19}" destId="{C20F34A7-B11F-4B7D-A9B0-87E6D0B23646}" srcOrd="0" destOrd="0" presId="urn:microsoft.com/office/officeart/2008/layout/PictureAccentList"/>
    <dgm:cxn modelId="{3B9653A1-1B13-45BE-8411-7A2AE2B46B95}" type="presParOf" srcId="{72F2A48A-495F-4309-B640-E98576DF3E05}" destId="{6D34F6D7-AC63-4373-B2F1-467E75185EC3}" srcOrd="1" destOrd="0" presId="urn:microsoft.com/office/officeart/2008/layout/PictureAccentList"/>
  </dgm:cxnLst>
  <dgm:bg/>
  <dgm:whole/>
  <dgm:extLst>
    <a:ext uri="http://schemas.microsoft.com/office/drawing/2008/diagram">
      <dsp:dataModelExt xmlns:dsp="http://schemas.microsoft.com/office/drawing/2008/diagram" xmlns=""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3B12CCA-E787-4286-803D-8D1C66F9271A}" type="doc">
      <dgm:prSet loTypeId="urn:microsoft.com/office/officeart/2011/layout/TabList" loCatId="officeonline" qsTypeId="urn:microsoft.com/office/officeart/2005/8/quickstyle/simple1#4" qsCatId="simple" csTypeId="urn:microsoft.com/office/officeart/2005/8/colors/accent3_2" csCatId="accent3" phldr="1"/>
      <dgm:spPr/>
      <dgm:t>
        <a:bodyPr/>
        <a:lstStyle/>
        <a:p>
          <a:endParaRPr lang="fr-FR"/>
        </a:p>
      </dgm:t>
    </dgm:pt>
    <dgm:pt modelId="{DB0DDD43-3E42-41DD-B160-816BEB4531E5}">
      <dgm:prSet phldrT="[Texte]" phldr="1"/>
      <dgm:spPr/>
      <dgm:t>
        <a:bodyPr/>
        <a:lstStyle/>
        <a:p>
          <a:endParaRPr lang="fr-FR"/>
        </a:p>
      </dgm:t>
    </dgm:pt>
    <dgm:pt modelId="{36EEAA6D-E1E3-438A-A1BA-DBEF38459F4B}" type="parTrans" cxnId="{AF0D4245-8210-49DD-9C17-9F90026A91B0}">
      <dgm:prSet/>
      <dgm:spPr/>
      <dgm:t>
        <a:bodyPr/>
        <a:lstStyle/>
        <a:p>
          <a:endParaRPr lang="fr-FR"/>
        </a:p>
      </dgm:t>
    </dgm:pt>
    <dgm:pt modelId="{CFFF2C85-6A86-4D98-AC1F-4A15CF5FBD43}" type="sibTrans" cxnId="{AF0D4245-8210-49DD-9C17-9F90026A91B0}">
      <dgm:prSet/>
      <dgm:spPr/>
      <dgm:t>
        <a:bodyPr/>
        <a:lstStyle/>
        <a:p>
          <a:endParaRPr lang="fr-FR"/>
        </a:p>
      </dgm:t>
    </dgm:pt>
    <dgm:pt modelId="{F8435DD9-7E46-409A-ADED-3F8BD61CA0E2}">
      <dgm:prSet phldrT="[Texte]" custT="1"/>
      <dgm:spPr/>
      <dgm:t>
        <a:bodyPr/>
        <a:lstStyle/>
        <a:p>
          <a:r>
            <a:rPr lang="fr-FR" sz="1900"/>
            <a:t>Une progression constante chaque année</a:t>
          </a:r>
        </a:p>
      </dgm:t>
    </dgm:pt>
    <dgm:pt modelId="{93A07A27-6C53-401E-A3F2-525C626F1483}" type="parTrans" cxnId="{1840090F-FCD6-44D9-B5D8-18C650DED1D4}">
      <dgm:prSet/>
      <dgm:spPr/>
      <dgm:t>
        <a:bodyPr/>
        <a:lstStyle/>
        <a:p>
          <a:endParaRPr lang="fr-FR"/>
        </a:p>
      </dgm:t>
    </dgm:pt>
    <dgm:pt modelId="{F2859BC6-84DB-4A77-8D26-EF96EC4285F4}" type="sibTrans" cxnId="{1840090F-FCD6-44D9-B5D8-18C650DED1D4}">
      <dgm:prSet/>
      <dgm:spPr/>
      <dgm:t>
        <a:bodyPr/>
        <a:lstStyle/>
        <a:p>
          <a:endParaRPr lang="fr-FR"/>
        </a:p>
      </dgm:t>
    </dgm:pt>
    <dgm:pt modelId="{BD38DCE7-F8F9-4F18-8F40-899D9A44141E}">
      <dgm:prSet phldrT="[Texte]"/>
      <dgm:spPr/>
      <dgm:t>
        <a:bodyPr/>
        <a:lstStyle/>
        <a:p>
          <a:endParaRPr lang="fr-FR" sz="1600"/>
        </a:p>
      </dgm:t>
    </dgm:pt>
    <dgm:pt modelId="{44B7EF97-6BB1-4945-A109-73827DE88747}" type="parTrans" cxnId="{A206468E-26A4-4879-B1D7-72C75F23A456}">
      <dgm:prSet/>
      <dgm:spPr/>
      <dgm:t>
        <a:bodyPr/>
        <a:lstStyle/>
        <a:p>
          <a:endParaRPr lang="fr-FR"/>
        </a:p>
      </dgm:t>
    </dgm:pt>
    <dgm:pt modelId="{E15AF197-06F6-4A6D-92FD-57C442D8B56D}" type="sibTrans" cxnId="{A206468E-26A4-4879-B1D7-72C75F23A456}">
      <dgm:prSet/>
      <dgm:spPr/>
      <dgm:t>
        <a:bodyPr/>
        <a:lstStyle/>
        <a:p>
          <a:endParaRPr lang="fr-FR"/>
        </a:p>
      </dgm:t>
    </dgm:pt>
    <dgm:pt modelId="{C4A48B8C-7FCC-483E-9E88-41A60A13A77B}">
      <dgm:prSet phldrT="[Texte]" custT="1"/>
      <dgm:spPr/>
      <dgm:t>
        <a:bodyPr/>
        <a:lstStyle/>
        <a:p>
          <a:r>
            <a:rPr lang="fr-FR" sz="1800">
              <a:solidFill>
                <a:schemeClr val="accent3">
                  <a:lumMod val="50000"/>
                </a:schemeClr>
              </a:solidFill>
            </a:rPr>
            <a:t>Les chiffres sur la période 2008-2012</a:t>
          </a:r>
        </a:p>
      </dgm:t>
    </dgm:pt>
    <dgm:pt modelId="{ED4210D3-EC5E-4B7E-A7F0-B179BEB22CBA}" type="parTrans" cxnId="{F94758F4-E59A-468E-A2FD-B725FE495672}">
      <dgm:prSet/>
      <dgm:spPr/>
      <dgm:t>
        <a:bodyPr/>
        <a:lstStyle/>
        <a:p>
          <a:endParaRPr lang="fr-FR"/>
        </a:p>
      </dgm:t>
    </dgm:pt>
    <dgm:pt modelId="{E53B5C3F-321D-4077-92F2-628C0951BDD8}" type="sibTrans" cxnId="{F94758F4-E59A-468E-A2FD-B725FE495672}">
      <dgm:prSet/>
      <dgm:spPr/>
      <dgm:t>
        <a:bodyPr/>
        <a:lstStyle/>
        <a:p>
          <a:endParaRPr lang="fr-FR"/>
        </a:p>
      </dgm:t>
    </dgm:pt>
    <dgm:pt modelId="{A23D58FF-31CC-44D8-B1FE-7955960FB969}" type="pres">
      <dgm:prSet presAssocID="{93B12CCA-E787-4286-803D-8D1C66F9271A}" presName="Name0" presStyleCnt="0">
        <dgm:presLayoutVars>
          <dgm:chMax/>
          <dgm:chPref val="3"/>
          <dgm:dir/>
          <dgm:animOne val="branch"/>
          <dgm:animLvl val="lvl"/>
        </dgm:presLayoutVars>
      </dgm:prSet>
      <dgm:spPr/>
      <dgm:t>
        <a:bodyPr/>
        <a:lstStyle/>
        <a:p>
          <a:endParaRPr lang="fr-FR"/>
        </a:p>
      </dgm:t>
    </dgm:pt>
    <dgm:pt modelId="{18E556ED-9B1F-4D8A-98F4-2C131B8BABEC}" type="pres">
      <dgm:prSet presAssocID="{DB0DDD43-3E42-41DD-B160-816BEB4531E5}" presName="composite" presStyleCnt="0"/>
      <dgm:spPr/>
    </dgm:pt>
    <dgm:pt modelId="{3367E8FF-BBEC-44ED-9B45-50233ED21F38}" type="pres">
      <dgm:prSet presAssocID="{DB0DDD43-3E42-41DD-B160-816BEB4531E5}" presName="FirstChild" presStyleLbl="revTx" presStyleIdx="0" presStyleCnt="2" custLinFactNeighborX="-13099">
        <dgm:presLayoutVars>
          <dgm:chMax val="0"/>
          <dgm:chPref val="0"/>
          <dgm:bulletEnabled val="1"/>
        </dgm:presLayoutVars>
      </dgm:prSet>
      <dgm:spPr/>
      <dgm:t>
        <a:bodyPr/>
        <a:lstStyle/>
        <a:p>
          <a:endParaRPr lang="fr-FR"/>
        </a:p>
      </dgm:t>
    </dgm:pt>
    <dgm:pt modelId="{247F3F79-6E25-4CA9-8B0E-FAEB3C894FC7}" type="pres">
      <dgm:prSet presAssocID="{DB0DDD43-3E42-41DD-B160-816BEB4531E5}" presName="Parent" presStyleLbl="alignNode1" presStyleIdx="0" presStyleCnt="1" custScaleX="44153" custLinFactNeighborX="-27923">
        <dgm:presLayoutVars>
          <dgm:chMax val="3"/>
          <dgm:chPref val="3"/>
          <dgm:bulletEnabled val="1"/>
        </dgm:presLayoutVars>
      </dgm:prSet>
      <dgm:spPr/>
      <dgm:t>
        <a:bodyPr/>
        <a:lstStyle/>
        <a:p>
          <a:endParaRPr lang="fr-FR"/>
        </a:p>
      </dgm:t>
    </dgm:pt>
    <dgm:pt modelId="{04B4ABB5-84D6-4E97-93D7-6618614B7D2F}" type="pres">
      <dgm:prSet presAssocID="{DB0DDD43-3E42-41DD-B160-816BEB4531E5}" presName="Accent" presStyleLbl="parChTrans1D1" presStyleIdx="0" presStyleCnt="1"/>
      <dgm:spPr/>
    </dgm:pt>
    <dgm:pt modelId="{E8AB1E02-C604-4BCD-B4C7-395E4A57BD61}" type="pres">
      <dgm:prSet presAssocID="{DB0DDD43-3E42-41DD-B160-816BEB4531E5}" presName="Child" presStyleLbl="revTx" presStyleIdx="1" presStyleCnt="2">
        <dgm:presLayoutVars>
          <dgm:chMax val="0"/>
          <dgm:chPref val="0"/>
          <dgm:bulletEnabled val="1"/>
        </dgm:presLayoutVars>
      </dgm:prSet>
      <dgm:spPr/>
      <dgm:t>
        <a:bodyPr/>
        <a:lstStyle/>
        <a:p>
          <a:endParaRPr lang="fr-FR"/>
        </a:p>
      </dgm:t>
    </dgm:pt>
  </dgm:ptLst>
  <dgm:cxnLst>
    <dgm:cxn modelId="{182BB8A1-E270-4F05-AF24-DC03D97D0B24}" type="presOf" srcId="{C4A48B8C-7FCC-483E-9E88-41A60A13A77B}" destId="{E8AB1E02-C604-4BCD-B4C7-395E4A57BD61}" srcOrd="0" destOrd="1" presId="urn:microsoft.com/office/officeart/2011/layout/TabList"/>
    <dgm:cxn modelId="{1840090F-FCD6-44D9-B5D8-18C650DED1D4}" srcId="{DB0DDD43-3E42-41DD-B160-816BEB4531E5}" destId="{F8435DD9-7E46-409A-ADED-3F8BD61CA0E2}" srcOrd="0" destOrd="0" parTransId="{93A07A27-6C53-401E-A3F2-525C626F1483}" sibTransId="{F2859BC6-84DB-4A77-8D26-EF96EC4285F4}"/>
    <dgm:cxn modelId="{AF0D4245-8210-49DD-9C17-9F90026A91B0}" srcId="{93B12CCA-E787-4286-803D-8D1C66F9271A}" destId="{DB0DDD43-3E42-41DD-B160-816BEB4531E5}" srcOrd="0" destOrd="0" parTransId="{36EEAA6D-E1E3-438A-A1BA-DBEF38459F4B}" sibTransId="{CFFF2C85-6A86-4D98-AC1F-4A15CF5FBD43}"/>
    <dgm:cxn modelId="{EDF6EA76-62F2-4444-95C4-48C5D46087F0}" type="presOf" srcId="{DB0DDD43-3E42-41DD-B160-816BEB4531E5}" destId="{247F3F79-6E25-4CA9-8B0E-FAEB3C894FC7}" srcOrd="0" destOrd="0" presId="urn:microsoft.com/office/officeart/2011/layout/TabList"/>
    <dgm:cxn modelId="{F94758F4-E59A-468E-A2FD-B725FE495672}" srcId="{DB0DDD43-3E42-41DD-B160-816BEB4531E5}" destId="{C4A48B8C-7FCC-483E-9E88-41A60A13A77B}" srcOrd="2" destOrd="0" parTransId="{ED4210D3-EC5E-4B7E-A7F0-B179BEB22CBA}" sibTransId="{E53B5C3F-321D-4077-92F2-628C0951BDD8}"/>
    <dgm:cxn modelId="{B4CA9B6B-1516-4DC8-B331-671798A61C3F}" type="presOf" srcId="{F8435DD9-7E46-409A-ADED-3F8BD61CA0E2}" destId="{3367E8FF-BBEC-44ED-9B45-50233ED21F38}" srcOrd="0" destOrd="0" presId="urn:microsoft.com/office/officeart/2011/layout/TabList"/>
    <dgm:cxn modelId="{49006AFD-6017-4472-B142-53D8979B6B72}" type="presOf" srcId="{BD38DCE7-F8F9-4F18-8F40-899D9A44141E}" destId="{E8AB1E02-C604-4BCD-B4C7-395E4A57BD61}" srcOrd="0" destOrd="0" presId="urn:microsoft.com/office/officeart/2011/layout/TabList"/>
    <dgm:cxn modelId="{816B4940-92BE-400C-8095-EE52E67554A0}" type="presOf" srcId="{93B12CCA-E787-4286-803D-8D1C66F9271A}" destId="{A23D58FF-31CC-44D8-B1FE-7955960FB969}" srcOrd="0" destOrd="0" presId="urn:microsoft.com/office/officeart/2011/layout/TabList"/>
    <dgm:cxn modelId="{A206468E-26A4-4879-B1D7-72C75F23A456}" srcId="{DB0DDD43-3E42-41DD-B160-816BEB4531E5}" destId="{BD38DCE7-F8F9-4F18-8F40-899D9A44141E}" srcOrd="1" destOrd="0" parTransId="{44B7EF97-6BB1-4945-A109-73827DE88747}" sibTransId="{E15AF197-06F6-4A6D-92FD-57C442D8B56D}"/>
    <dgm:cxn modelId="{D96C5FE2-FEE5-431A-A4C6-B2EC6BA8DF29}" type="presParOf" srcId="{A23D58FF-31CC-44D8-B1FE-7955960FB969}" destId="{18E556ED-9B1F-4D8A-98F4-2C131B8BABEC}" srcOrd="0" destOrd="0" presId="urn:microsoft.com/office/officeart/2011/layout/TabList"/>
    <dgm:cxn modelId="{3B853293-0D4C-400E-97D1-0F09E1324DA3}" type="presParOf" srcId="{18E556ED-9B1F-4D8A-98F4-2C131B8BABEC}" destId="{3367E8FF-BBEC-44ED-9B45-50233ED21F38}" srcOrd="0" destOrd="0" presId="urn:microsoft.com/office/officeart/2011/layout/TabList"/>
    <dgm:cxn modelId="{33C20F48-EB37-4F26-A30B-B4C268944F55}" type="presParOf" srcId="{18E556ED-9B1F-4D8A-98F4-2C131B8BABEC}" destId="{247F3F79-6E25-4CA9-8B0E-FAEB3C894FC7}" srcOrd="1" destOrd="0" presId="urn:microsoft.com/office/officeart/2011/layout/TabList"/>
    <dgm:cxn modelId="{9547135F-1AAA-4104-BD59-E37151EA51FF}" type="presParOf" srcId="{18E556ED-9B1F-4D8A-98F4-2C131B8BABEC}" destId="{04B4ABB5-84D6-4E97-93D7-6618614B7D2F}" srcOrd="2" destOrd="0" presId="urn:microsoft.com/office/officeart/2011/layout/TabList"/>
    <dgm:cxn modelId="{DB4BB09D-EC2D-48E5-9C27-980AC680B39D}" type="presParOf" srcId="{A23D58FF-31CC-44D8-B1FE-7955960FB969}" destId="{E8AB1E02-C604-4BCD-B4C7-395E4A57BD61}" srcOrd="1" destOrd="0" presId="urn:microsoft.com/office/officeart/2011/layout/TabList"/>
  </dgm:cxnLst>
  <dgm:bg/>
  <dgm:whole/>
  <dgm:extLst>
    <a:ext uri="http://schemas.microsoft.com/office/drawing/2008/diagram">
      <dsp:dataModelExt xmlns:dsp="http://schemas.microsoft.com/office/drawing/2008/diagram" xmlns="" relId="rId3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3B12CCA-E787-4286-803D-8D1C66F9271A}" type="doc">
      <dgm:prSet loTypeId="urn:microsoft.com/office/officeart/2011/layout/TabList" loCatId="officeonline" qsTypeId="urn:microsoft.com/office/officeart/2005/8/quickstyle/simple1#5" qsCatId="simple" csTypeId="urn:microsoft.com/office/officeart/2005/8/colors/accent3_2" csCatId="accent3" phldr="1"/>
      <dgm:spPr/>
      <dgm:t>
        <a:bodyPr/>
        <a:lstStyle/>
        <a:p>
          <a:endParaRPr lang="fr-FR"/>
        </a:p>
      </dgm:t>
    </dgm:pt>
    <dgm:pt modelId="{DB0DDD43-3E42-41DD-B160-816BEB4531E5}">
      <dgm:prSet phldrT="[Texte]"/>
      <dgm:spPr>
        <a:xfrm>
          <a:off x="7" y="0"/>
          <a:ext cx="676844" cy="368263"/>
        </a:xfrm>
        <a:prstGeom prst="round2SameRect">
          <a:avLst>
            <a:gd name="adj1" fmla="val 16670"/>
            <a:gd name="adj2" fmla="val 0"/>
          </a:avLst>
        </a:prstGeom>
        <a:solidFill>
          <a:srgbClr val="9BBB59">
            <a:hueOff val="0"/>
            <a:satOff val="0"/>
            <a:lumOff val="0"/>
            <a:alphaOff val="0"/>
          </a:srgbClr>
        </a:solidFill>
        <a:ln w="25400" cap="flat" cmpd="sng" algn="ctr">
          <a:solidFill>
            <a:srgbClr val="9BBB59">
              <a:hueOff val="0"/>
              <a:satOff val="0"/>
              <a:lumOff val="0"/>
              <a:alphaOff val="0"/>
            </a:srgbClr>
          </a:solidFill>
          <a:prstDash val="solid"/>
        </a:ln>
        <a:effectLst/>
      </dgm:spPr>
      <dgm:t>
        <a:bodyPr/>
        <a:lstStyle/>
        <a:p>
          <a:endParaRPr lang="fr-FR">
            <a:solidFill>
              <a:sysClr val="window" lastClr="FFFFFF"/>
            </a:solidFill>
            <a:latin typeface="Calibri"/>
            <a:ea typeface="+mn-ea"/>
            <a:cs typeface="+mn-cs"/>
          </a:endParaRPr>
        </a:p>
      </dgm:t>
    </dgm:pt>
    <dgm:pt modelId="{36EEAA6D-E1E3-438A-A1BA-DBEF38459F4B}" type="parTrans" cxnId="{AF0D4245-8210-49DD-9C17-9F90026A91B0}">
      <dgm:prSet/>
      <dgm:spPr/>
      <dgm:t>
        <a:bodyPr/>
        <a:lstStyle/>
        <a:p>
          <a:endParaRPr lang="fr-FR"/>
        </a:p>
      </dgm:t>
    </dgm:pt>
    <dgm:pt modelId="{CFFF2C85-6A86-4D98-AC1F-4A15CF5FBD43}" type="sibTrans" cxnId="{AF0D4245-8210-49DD-9C17-9F90026A91B0}">
      <dgm:prSet/>
      <dgm:spPr/>
      <dgm:t>
        <a:bodyPr/>
        <a:lstStyle/>
        <a:p>
          <a:endParaRPr lang="fr-FR"/>
        </a:p>
      </dgm:t>
    </dgm:pt>
    <dgm:pt modelId="{F8435DD9-7E46-409A-ADED-3F8BD61CA0E2}">
      <dgm:prSet phldrT="[Texte]" custT="1"/>
      <dgm:spPr>
        <a:xfrm>
          <a:off x="961441" y="0"/>
          <a:ext cx="4363021" cy="368263"/>
        </a:xfrm>
        <a:prstGeom prst="rect">
          <a:avLst/>
        </a:prstGeom>
        <a:noFill/>
        <a:ln>
          <a:noFill/>
        </a:ln>
        <a:effectLst/>
      </dgm:spPr>
      <dgm:t>
        <a:bodyPr/>
        <a:lstStyle/>
        <a:p>
          <a:r>
            <a:rPr lang="fr-FR" sz="1800">
              <a:solidFill>
                <a:sysClr val="windowText" lastClr="000000">
                  <a:hueOff val="0"/>
                  <a:satOff val="0"/>
                  <a:lumOff val="0"/>
                  <a:alphaOff val="0"/>
                </a:sysClr>
              </a:solidFill>
              <a:latin typeface="Calibri"/>
              <a:ea typeface="+mn-ea"/>
              <a:cs typeface="+mn-cs"/>
            </a:rPr>
            <a:t>Répartition des heures par donneur d'ordre</a:t>
          </a:r>
        </a:p>
      </dgm:t>
    </dgm:pt>
    <dgm:pt modelId="{93A07A27-6C53-401E-A3F2-525C626F1483}" type="parTrans" cxnId="{1840090F-FCD6-44D9-B5D8-18C650DED1D4}">
      <dgm:prSet/>
      <dgm:spPr/>
      <dgm:t>
        <a:bodyPr/>
        <a:lstStyle/>
        <a:p>
          <a:endParaRPr lang="fr-FR"/>
        </a:p>
      </dgm:t>
    </dgm:pt>
    <dgm:pt modelId="{F2859BC6-84DB-4A77-8D26-EF96EC4285F4}" type="sibTrans" cxnId="{1840090F-FCD6-44D9-B5D8-18C650DED1D4}">
      <dgm:prSet/>
      <dgm:spPr/>
      <dgm:t>
        <a:bodyPr/>
        <a:lstStyle/>
        <a:p>
          <a:endParaRPr lang="fr-FR"/>
        </a:p>
      </dgm:t>
    </dgm:pt>
    <dgm:pt modelId="{BD38DCE7-F8F9-4F18-8F40-899D9A44141E}">
      <dgm:prSet phldrT="[Texte]"/>
      <dgm:spPr>
        <a:xfrm>
          <a:off x="0" y="368263"/>
          <a:ext cx="5895975" cy="736636"/>
        </a:xfrm>
        <a:prstGeom prst="rect">
          <a:avLst/>
        </a:prstGeom>
        <a:noFill/>
        <a:ln>
          <a:noFill/>
        </a:ln>
        <a:effectLst/>
      </dgm:spPr>
      <dgm:t>
        <a:bodyPr/>
        <a:lstStyle/>
        <a:p>
          <a:endParaRPr lang="fr-FR" sz="1600">
            <a:solidFill>
              <a:sysClr val="windowText" lastClr="000000">
                <a:hueOff val="0"/>
                <a:satOff val="0"/>
                <a:lumOff val="0"/>
                <a:alphaOff val="0"/>
              </a:sysClr>
            </a:solidFill>
            <a:latin typeface="Calibri"/>
            <a:ea typeface="+mn-ea"/>
            <a:cs typeface="+mn-cs"/>
          </a:endParaRPr>
        </a:p>
      </dgm:t>
    </dgm:pt>
    <dgm:pt modelId="{44B7EF97-6BB1-4945-A109-73827DE88747}" type="parTrans" cxnId="{A206468E-26A4-4879-B1D7-72C75F23A456}">
      <dgm:prSet/>
      <dgm:spPr/>
      <dgm:t>
        <a:bodyPr/>
        <a:lstStyle/>
        <a:p>
          <a:endParaRPr lang="fr-FR"/>
        </a:p>
      </dgm:t>
    </dgm:pt>
    <dgm:pt modelId="{E15AF197-06F6-4A6D-92FD-57C442D8B56D}" type="sibTrans" cxnId="{A206468E-26A4-4879-B1D7-72C75F23A456}">
      <dgm:prSet/>
      <dgm:spPr/>
      <dgm:t>
        <a:bodyPr/>
        <a:lstStyle/>
        <a:p>
          <a:endParaRPr lang="fr-FR"/>
        </a:p>
      </dgm:t>
    </dgm:pt>
    <dgm:pt modelId="{C4A48B8C-7FCC-483E-9E88-41A60A13A77B}">
      <dgm:prSet phldrT="[Texte]" custT="1"/>
      <dgm:spPr>
        <a:xfrm>
          <a:off x="0" y="368263"/>
          <a:ext cx="5895975" cy="736636"/>
        </a:xfrm>
        <a:prstGeom prst="rect">
          <a:avLst/>
        </a:prstGeom>
        <a:noFill/>
        <a:ln>
          <a:noFill/>
        </a:ln>
        <a:effectLst/>
      </dgm:spPr>
      <dgm:t>
        <a:bodyPr/>
        <a:lstStyle/>
        <a:p>
          <a:r>
            <a:rPr lang="fr-FR" sz="1800">
              <a:solidFill>
                <a:srgbClr val="9BBB59">
                  <a:lumMod val="50000"/>
                </a:srgbClr>
              </a:solidFill>
              <a:latin typeface="Calibri"/>
              <a:ea typeface="+mn-ea"/>
              <a:cs typeface="+mn-cs"/>
            </a:rPr>
            <a:t>Ventilation des heures réalisées par donneur d'ordre</a:t>
          </a:r>
        </a:p>
      </dgm:t>
    </dgm:pt>
    <dgm:pt modelId="{ED4210D3-EC5E-4B7E-A7F0-B179BEB22CBA}" type="parTrans" cxnId="{F94758F4-E59A-468E-A2FD-B725FE495672}">
      <dgm:prSet/>
      <dgm:spPr/>
      <dgm:t>
        <a:bodyPr/>
        <a:lstStyle/>
        <a:p>
          <a:endParaRPr lang="fr-FR"/>
        </a:p>
      </dgm:t>
    </dgm:pt>
    <dgm:pt modelId="{E53B5C3F-321D-4077-92F2-628C0951BDD8}" type="sibTrans" cxnId="{F94758F4-E59A-468E-A2FD-B725FE495672}">
      <dgm:prSet/>
      <dgm:spPr/>
      <dgm:t>
        <a:bodyPr/>
        <a:lstStyle/>
        <a:p>
          <a:endParaRPr lang="fr-FR"/>
        </a:p>
      </dgm:t>
    </dgm:pt>
    <dgm:pt modelId="{A23D58FF-31CC-44D8-B1FE-7955960FB969}" type="pres">
      <dgm:prSet presAssocID="{93B12CCA-E787-4286-803D-8D1C66F9271A}" presName="Name0" presStyleCnt="0">
        <dgm:presLayoutVars>
          <dgm:chMax/>
          <dgm:chPref val="3"/>
          <dgm:dir/>
          <dgm:animOne val="branch"/>
          <dgm:animLvl val="lvl"/>
        </dgm:presLayoutVars>
      </dgm:prSet>
      <dgm:spPr/>
      <dgm:t>
        <a:bodyPr/>
        <a:lstStyle/>
        <a:p>
          <a:endParaRPr lang="fr-FR"/>
        </a:p>
      </dgm:t>
    </dgm:pt>
    <dgm:pt modelId="{18E556ED-9B1F-4D8A-98F4-2C131B8BABEC}" type="pres">
      <dgm:prSet presAssocID="{DB0DDD43-3E42-41DD-B160-816BEB4531E5}" presName="composite" presStyleCnt="0"/>
      <dgm:spPr/>
    </dgm:pt>
    <dgm:pt modelId="{3367E8FF-BBEC-44ED-9B45-50233ED21F38}" type="pres">
      <dgm:prSet presAssocID="{DB0DDD43-3E42-41DD-B160-816BEB4531E5}" presName="FirstChild" presStyleLbl="revTx" presStyleIdx="0" presStyleCnt="2" custLinFactNeighborX="-13099">
        <dgm:presLayoutVars>
          <dgm:chMax val="0"/>
          <dgm:chPref val="0"/>
          <dgm:bulletEnabled val="1"/>
        </dgm:presLayoutVars>
      </dgm:prSet>
      <dgm:spPr/>
      <dgm:t>
        <a:bodyPr/>
        <a:lstStyle/>
        <a:p>
          <a:endParaRPr lang="fr-FR"/>
        </a:p>
      </dgm:t>
    </dgm:pt>
    <dgm:pt modelId="{247F3F79-6E25-4CA9-8B0E-FAEB3C894FC7}" type="pres">
      <dgm:prSet presAssocID="{DB0DDD43-3E42-41DD-B160-816BEB4531E5}" presName="Parent" presStyleLbl="alignNode1" presStyleIdx="0" presStyleCnt="1" custScaleX="44153" custLinFactNeighborX="-27923">
        <dgm:presLayoutVars>
          <dgm:chMax val="3"/>
          <dgm:chPref val="3"/>
          <dgm:bulletEnabled val="1"/>
        </dgm:presLayoutVars>
      </dgm:prSet>
      <dgm:spPr/>
      <dgm:t>
        <a:bodyPr/>
        <a:lstStyle/>
        <a:p>
          <a:endParaRPr lang="fr-FR"/>
        </a:p>
      </dgm:t>
    </dgm:pt>
    <dgm:pt modelId="{04B4ABB5-84D6-4E97-93D7-6618614B7D2F}" type="pres">
      <dgm:prSet presAssocID="{DB0DDD43-3E42-41DD-B160-816BEB4531E5}" presName="Accent" presStyleLbl="parChTrans1D1" presStyleIdx="0" presStyleCnt="1"/>
      <dgm:spPr>
        <a:xfrm>
          <a:off x="0" y="368263"/>
          <a:ext cx="5895975" cy="0"/>
        </a:xfrm>
        <a:prstGeom prst="line">
          <a:avLst/>
        </a:prstGeom>
        <a:noFill/>
        <a:ln w="25400" cap="flat" cmpd="sng" algn="ctr">
          <a:solidFill>
            <a:srgbClr val="9BBB59">
              <a:shade val="60000"/>
              <a:hueOff val="0"/>
              <a:satOff val="0"/>
              <a:lumOff val="0"/>
              <a:alphaOff val="0"/>
            </a:srgbClr>
          </a:solidFill>
          <a:prstDash val="solid"/>
        </a:ln>
        <a:effectLst/>
      </dgm:spPr>
      <dgm:t>
        <a:bodyPr/>
        <a:lstStyle/>
        <a:p>
          <a:endParaRPr lang="fr-FR"/>
        </a:p>
      </dgm:t>
    </dgm:pt>
    <dgm:pt modelId="{E8AB1E02-C604-4BCD-B4C7-395E4A57BD61}" type="pres">
      <dgm:prSet presAssocID="{DB0DDD43-3E42-41DD-B160-816BEB4531E5}" presName="Child" presStyleLbl="revTx" presStyleIdx="1" presStyleCnt="2">
        <dgm:presLayoutVars>
          <dgm:chMax val="0"/>
          <dgm:chPref val="0"/>
          <dgm:bulletEnabled val="1"/>
        </dgm:presLayoutVars>
      </dgm:prSet>
      <dgm:spPr/>
      <dgm:t>
        <a:bodyPr/>
        <a:lstStyle/>
        <a:p>
          <a:endParaRPr lang="fr-FR"/>
        </a:p>
      </dgm:t>
    </dgm:pt>
  </dgm:ptLst>
  <dgm:cxnLst>
    <dgm:cxn modelId="{1840090F-FCD6-44D9-B5D8-18C650DED1D4}" srcId="{DB0DDD43-3E42-41DD-B160-816BEB4531E5}" destId="{F8435DD9-7E46-409A-ADED-3F8BD61CA0E2}" srcOrd="0" destOrd="0" parTransId="{93A07A27-6C53-401E-A3F2-525C626F1483}" sibTransId="{F2859BC6-84DB-4A77-8D26-EF96EC4285F4}"/>
    <dgm:cxn modelId="{3FA3CE67-0583-4D16-8172-DAB89C3C27F4}" type="presOf" srcId="{DB0DDD43-3E42-41DD-B160-816BEB4531E5}" destId="{247F3F79-6E25-4CA9-8B0E-FAEB3C894FC7}" srcOrd="0" destOrd="0" presId="urn:microsoft.com/office/officeart/2011/layout/TabList"/>
    <dgm:cxn modelId="{AF0D4245-8210-49DD-9C17-9F90026A91B0}" srcId="{93B12CCA-E787-4286-803D-8D1C66F9271A}" destId="{DB0DDD43-3E42-41DD-B160-816BEB4531E5}" srcOrd="0" destOrd="0" parTransId="{36EEAA6D-E1E3-438A-A1BA-DBEF38459F4B}" sibTransId="{CFFF2C85-6A86-4D98-AC1F-4A15CF5FBD43}"/>
    <dgm:cxn modelId="{F94758F4-E59A-468E-A2FD-B725FE495672}" srcId="{DB0DDD43-3E42-41DD-B160-816BEB4531E5}" destId="{C4A48B8C-7FCC-483E-9E88-41A60A13A77B}" srcOrd="2" destOrd="0" parTransId="{ED4210D3-EC5E-4B7E-A7F0-B179BEB22CBA}" sibTransId="{E53B5C3F-321D-4077-92F2-628C0951BDD8}"/>
    <dgm:cxn modelId="{281B51E8-0B56-4B2A-9462-1964A7ADB269}" type="presOf" srcId="{C4A48B8C-7FCC-483E-9E88-41A60A13A77B}" destId="{E8AB1E02-C604-4BCD-B4C7-395E4A57BD61}" srcOrd="0" destOrd="1" presId="urn:microsoft.com/office/officeart/2011/layout/TabList"/>
    <dgm:cxn modelId="{2117F510-C853-4DA3-8B2B-068168D9C2F8}" type="presOf" srcId="{F8435DD9-7E46-409A-ADED-3F8BD61CA0E2}" destId="{3367E8FF-BBEC-44ED-9B45-50233ED21F38}" srcOrd="0" destOrd="0" presId="urn:microsoft.com/office/officeart/2011/layout/TabList"/>
    <dgm:cxn modelId="{A6CBFFE6-F67F-427F-B3DF-7B4E79B352B5}" type="presOf" srcId="{93B12CCA-E787-4286-803D-8D1C66F9271A}" destId="{A23D58FF-31CC-44D8-B1FE-7955960FB969}" srcOrd="0" destOrd="0" presId="urn:microsoft.com/office/officeart/2011/layout/TabList"/>
    <dgm:cxn modelId="{171E4EF9-6AE9-480E-B170-C8E1E648F413}" type="presOf" srcId="{BD38DCE7-F8F9-4F18-8F40-899D9A44141E}" destId="{E8AB1E02-C604-4BCD-B4C7-395E4A57BD61}" srcOrd="0" destOrd="0" presId="urn:microsoft.com/office/officeart/2011/layout/TabList"/>
    <dgm:cxn modelId="{A206468E-26A4-4879-B1D7-72C75F23A456}" srcId="{DB0DDD43-3E42-41DD-B160-816BEB4531E5}" destId="{BD38DCE7-F8F9-4F18-8F40-899D9A44141E}" srcOrd="1" destOrd="0" parTransId="{44B7EF97-6BB1-4945-A109-73827DE88747}" sibTransId="{E15AF197-06F6-4A6D-92FD-57C442D8B56D}"/>
    <dgm:cxn modelId="{26ABEB44-FCCA-477A-B1C2-4FC25CC0A06F}" type="presParOf" srcId="{A23D58FF-31CC-44D8-B1FE-7955960FB969}" destId="{18E556ED-9B1F-4D8A-98F4-2C131B8BABEC}" srcOrd="0" destOrd="0" presId="urn:microsoft.com/office/officeart/2011/layout/TabList"/>
    <dgm:cxn modelId="{782C47E5-6026-4458-8666-2E6651819E0F}" type="presParOf" srcId="{18E556ED-9B1F-4D8A-98F4-2C131B8BABEC}" destId="{3367E8FF-BBEC-44ED-9B45-50233ED21F38}" srcOrd="0" destOrd="0" presId="urn:microsoft.com/office/officeart/2011/layout/TabList"/>
    <dgm:cxn modelId="{9852DB33-F4A8-4A69-A2A2-5AA7A7EA60E0}" type="presParOf" srcId="{18E556ED-9B1F-4D8A-98F4-2C131B8BABEC}" destId="{247F3F79-6E25-4CA9-8B0E-FAEB3C894FC7}" srcOrd="1" destOrd="0" presId="urn:microsoft.com/office/officeart/2011/layout/TabList"/>
    <dgm:cxn modelId="{170AD53E-218E-4FC7-BE01-C0C7A25D0586}" type="presParOf" srcId="{18E556ED-9B1F-4D8A-98F4-2C131B8BABEC}" destId="{04B4ABB5-84D6-4E97-93D7-6618614B7D2F}" srcOrd="2" destOrd="0" presId="urn:microsoft.com/office/officeart/2011/layout/TabList"/>
    <dgm:cxn modelId="{29A8DDCE-E882-4987-8ADA-73E863CEE370}" type="presParOf" srcId="{A23D58FF-31CC-44D8-B1FE-7955960FB969}" destId="{E8AB1E02-C604-4BCD-B4C7-395E4A57BD61}" srcOrd="1" destOrd="0" presId="urn:microsoft.com/office/officeart/2011/layout/TabList"/>
  </dgm:cxnLst>
  <dgm:bg/>
  <dgm:whole/>
  <dgm:extLst>
    <a:ext uri="http://schemas.microsoft.com/office/drawing/2008/diagram">
      <dsp:dataModelExt xmlns:dsp="http://schemas.microsoft.com/office/drawing/2008/diagram" xmlns="" relId="rId3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3B12CCA-E787-4286-803D-8D1C66F9271A}" type="doc">
      <dgm:prSet loTypeId="urn:microsoft.com/office/officeart/2011/layout/TabList" loCatId="officeonline" qsTypeId="urn:microsoft.com/office/officeart/2005/8/quickstyle/simple1#6" qsCatId="simple" csTypeId="urn:microsoft.com/office/officeart/2005/8/colors/accent3_2" csCatId="accent3" phldr="1"/>
      <dgm:spPr/>
      <dgm:t>
        <a:bodyPr/>
        <a:lstStyle/>
        <a:p>
          <a:endParaRPr lang="fr-FR"/>
        </a:p>
      </dgm:t>
    </dgm:pt>
    <dgm:pt modelId="{DB0DDD43-3E42-41DD-B160-816BEB4531E5}">
      <dgm:prSet phldrT="[Texte]"/>
      <dgm:spPr>
        <a:xfrm>
          <a:off x="7" y="0"/>
          <a:ext cx="676844" cy="368263"/>
        </a:xfrm>
        <a:prstGeom prst="round2SameRect">
          <a:avLst>
            <a:gd name="adj1" fmla="val 16670"/>
            <a:gd name="adj2" fmla="val 0"/>
          </a:avLst>
        </a:prstGeom>
        <a:solidFill>
          <a:srgbClr val="9BBB59">
            <a:hueOff val="0"/>
            <a:satOff val="0"/>
            <a:lumOff val="0"/>
            <a:alphaOff val="0"/>
          </a:srgbClr>
        </a:solidFill>
        <a:ln w="25400" cap="flat" cmpd="sng" algn="ctr">
          <a:solidFill>
            <a:srgbClr val="9BBB59">
              <a:hueOff val="0"/>
              <a:satOff val="0"/>
              <a:lumOff val="0"/>
              <a:alphaOff val="0"/>
            </a:srgbClr>
          </a:solidFill>
          <a:prstDash val="solid"/>
        </a:ln>
        <a:effectLst/>
      </dgm:spPr>
      <dgm:t>
        <a:bodyPr/>
        <a:lstStyle/>
        <a:p>
          <a:endParaRPr lang="fr-FR">
            <a:solidFill>
              <a:sysClr val="window" lastClr="FFFFFF"/>
            </a:solidFill>
            <a:latin typeface="Calibri"/>
            <a:ea typeface="+mn-ea"/>
            <a:cs typeface="+mn-cs"/>
          </a:endParaRPr>
        </a:p>
      </dgm:t>
    </dgm:pt>
    <dgm:pt modelId="{36EEAA6D-E1E3-438A-A1BA-DBEF38459F4B}" type="parTrans" cxnId="{AF0D4245-8210-49DD-9C17-9F90026A91B0}">
      <dgm:prSet/>
      <dgm:spPr/>
      <dgm:t>
        <a:bodyPr/>
        <a:lstStyle/>
        <a:p>
          <a:endParaRPr lang="fr-FR"/>
        </a:p>
      </dgm:t>
    </dgm:pt>
    <dgm:pt modelId="{CFFF2C85-6A86-4D98-AC1F-4A15CF5FBD43}" type="sibTrans" cxnId="{AF0D4245-8210-49DD-9C17-9F90026A91B0}">
      <dgm:prSet/>
      <dgm:spPr/>
      <dgm:t>
        <a:bodyPr/>
        <a:lstStyle/>
        <a:p>
          <a:endParaRPr lang="fr-FR"/>
        </a:p>
      </dgm:t>
    </dgm:pt>
    <dgm:pt modelId="{F8435DD9-7E46-409A-ADED-3F8BD61CA0E2}">
      <dgm:prSet phldrT="[Texte]" custT="1"/>
      <dgm:spPr>
        <a:xfrm>
          <a:off x="961441" y="0"/>
          <a:ext cx="4363021" cy="368263"/>
        </a:xfrm>
        <a:prstGeom prst="rect">
          <a:avLst/>
        </a:prstGeom>
        <a:noFill/>
        <a:ln>
          <a:noFill/>
        </a:ln>
        <a:effectLst/>
      </dgm:spPr>
      <dgm:t>
        <a:bodyPr/>
        <a:lstStyle/>
        <a:p>
          <a:r>
            <a:rPr lang="fr-FR" sz="1800">
              <a:solidFill>
                <a:sysClr val="windowText" lastClr="000000">
                  <a:hueOff val="0"/>
                  <a:satOff val="0"/>
                  <a:lumOff val="0"/>
                  <a:alphaOff val="0"/>
                </a:sysClr>
              </a:solidFill>
              <a:latin typeface="Calibri"/>
              <a:ea typeface="+mn-ea"/>
              <a:cs typeface="+mn-cs"/>
            </a:rPr>
            <a:t>Ville de Bordeaux et ses établissements publics</a:t>
          </a:r>
        </a:p>
      </dgm:t>
    </dgm:pt>
    <dgm:pt modelId="{93A07A27-6C53-401E-A3F2-525C626F1483}" type="parTrans" cxnId="{1840090F-FCD6-44D9-B5D8-18C650DED1D4}">
      <dgm:prSet/>
      <dgm:spPr/>
      <dgm:t>
        <a:bodyPr/>
        <a:lstStyle/>
        <a:p>
          <a:endParaRPr lang="fr-FR"/>
        </a:p>
      </dgm:t>
    </dgm:pt>
    <dgm:pt modelId="{F2859BC6-84DB-4A77-8D26-EF96EC4285F4}" type="sibTrans" cxnId="{1840090F-FCD6-44D9-B5D8-18C650DED1D4}">
      <dgm:prSet/>
      <dgm:spPr/>
      <dgm:t>
        <a:bodyPr/>
        <a:lstStyle/>
        <a:p>
          <a:endParaRPr lang="fr-FR"/>
        </a:p>
      </dgm:t>
    </dgm:pt>
    <dgm:pt modelId="{BD38DCE7-F8F9-4F18-8F40-899D9A44141E}">
      <dgm:prSet phldrT="[Texte]"/>
      <dgm:spPr>
        <a:xfrm>
          <a:off x="0" y="368263"/>
          <a:ext cx="5895975" cy="736636"/>
        </a:xfrm>
        <a:prstGeom prst="rect">
          <a:avLst/>
        </a:prstGeom>
        <a:noFill/>
        <a:ln>
          <a:noFill/>
        </a:ln>
        <a:effectLst/>
      </dgm:spPr>
      <dgm:t>
        <a:bodyPr/>
        <a:lstStyle/>
        <a:p>
          <a:endParaRPr lang="fr-FR" sz="1600">
            <a:solidFill>
              <a:sysClr val="windowText" lastClr="000000">
                <a:hueOff val="0"/>
                <a:satOff val="0"/>
                <a:lumOff val="0"/>
                <a:alphaOff val="0"/>
              </a:sysClr>
            </a:solidFill>
            <a:latin typeface="Calibri"/>
            <a:ea typeface="+mn-ea"/>
            <a:cs typeface="+mn-cs"/>
          </a:endParaRPr>
        </a:p>
      </dgm:t>
    </dgm:pt>
    <dgm:pt modelId="{44B7EF97-6BB1-4945-A109-73827DE88747}" type="parTrans" cxnId="{A206468E-26A4-4879-B1D7-72C75F23A456}">
      <dgm:prSet/>
      <dgm:spPr/>
      <dgm:t>
        <a:bodyPr/>
        <a:lstStyle/>
        <a:p>
          <a:endParaRPr lang="fr-FR"/>
        </a:p>
      </dgm:t>
    </dgm:pt>
    <dgm:pt modelId="{E15AF197-06F6-4A6D-92FD-57C442D8B56D}" type="sibTrans" cxnId="{A206468E-26A4-4879-B1D7-72C75F23A456}">
      <dgm:prSet/>
      <dgm:spPr/>
      <dgm:t>
        <a:bodyPr/>
        <a:lstStyle/>
        <a:p>
          <a:endParaRPr lang="fr-FR"/>
        </a:p>
      </dgm:t>
    </dgm:pt>
    <dgm:pt modelId="{C4A48B8C-7FCC-483E-9E88-41A60A13A77B}">
      <dgm:prSet phldrT="[Texte]" custT="1"/>
      <dgm:spPr>
        <a:xfrm>
          <a:off x="0" y="368263"/>
          <a:ext cx="5895975" cy="736636"/>
        </a:xfrm>
        <a:prstGeom prst="rect">
          <a:avLst/>
        </a:prstGeom>
        <a:noFill/>
        <a:ln>
          <a:noFill/>
        </a:ln>
        <a:effectLst/>
      </dgm:spPr>
      <dgm:t>
        <a:bodyPr/>
        <a:lstStyle/>
        <a:p>
          <a:r>
            <a:rPr lang="fr-FR" sz="1800">
              <a:solidFill>
                <a:srgbClr val="9BBB59">
                  <a:lumMod val="50000"/>
                </a:srgbClr>
              </a:solidFill>
              <a:latin typeface="Calibri"/>
              <a:ea typeface="+mn-ea"/>
              <a:cs typeface="+mn-cs"/>
            </a:rPr>
            <a:t>Bilan des heures 2012</a:t>
          </a:r>
        </a:p>
      </dgm:t>
    </dgm:pt>
    <dgm:pt modelId="{ED4210D3-EC5E-4B7E-A7F0-B179BEB22CBA}" type="parTrans" cxnId="{F94758F4-E59A-468E-A2FD-B725FE495672}">
      <dgm:prSet/>
      <dgm:spPr/>
      <dgm:t>
        <a:bodyPr/>
        <a:lstStyle/>
        <a:p>
          <a:endParaRPr lang="fr-FR"/>
        </a:p>
      </dgm:t>
    </dgm:pt>
    <dgm:pt modelId="{E53B5C3F-321D-4077-92F2-628C0951BDD8}" type="sibTrans" cxnId="{F94758F4-E59A-468E-A2FD-B725FE495672}">
      <dgm:prSet/>
      <dgm:spPr/>
      <dgm:t>
        <a:bodyPr/>
        <a:lstStyle/>
        <a:p>
          <a:endParaRPr lang="fr-FR"/>
        </a:p>
      </dgm:t>
    </dgm:pt>
    <dgm:pt modelId="{A23D58FF-31CC-44D8-B1FE-7955960FB969}" type="pres">
      <dgm:prSet presAssocID="{93B12CCA-E787-4286-803D-8D1C66F9271A}" presName="Name0" presStyleCnt="0">
        <dgm:presLayoutVars>
          <dgm:chMax/>
          <dgm:chPref val="3"/>
          <dgm:dir/>
          <dgm:animOne val="branch"/>
          <dgm:animLvl val="lvl"/>
        </dgm:presLayoutVars>
      </dgm:prSet>
      <dgm:spPr/>
      <dgm:t>
        <a:bodyPr/>
        <a:lstStyle/>
        <a:p>
          <a:endParaRPr lang="fr-FR"/>
        </a:p>
      </dgm:t>
    </dgm:pt>
    <dgm:pt modelId="{18E556ED-9B1F-4D8A-98F4-2C131B8BABEC}" type="pres">
      <dgm:prSet presAssocID="{DB0DDD43-3E42-41DD-B160-816BEB4531E5}" presName="composite" presStyleCnt="0"/>
      <dgm:spPr/>
    </dgm:pt>
    <dgm:pt modelId="{3367E8FF-BBEC-44ED-9B45-50233ED21F38}" type="pres">
      <dgm:prSet presAssocID="{DB0DDD43-3E42-41DD-B160-816BEB4531E5}" presName="FirstChild" presStyleLbl="revTx" presStyleIdx="0" presStyleCnt="2" custScaleX="106032" custLinFactNeighborX="-13099">
        <dgm:presLayoutVars>
          <dgm:chMax val="0"/>
          <dgm:chPref val="0"/>
          <dgm:bulletEnabled val="1"/>
        </dgm:presLayoutVars>
      </dgm:prSet>
      <dgm:spPr/>
      <dgm:t>
        <a:bodyPr/>
        <a:lstStyle/>
        <a:p>
          <a:endParaRPr lang="fr-FR"/>
        </a:p>
      </dgm:t>
    </dgm:pt>
    <dgm:pt modelId="{247F3F79-6E25-4CA9-8B0E-FAEB3C894FC7}" type="pres">
      <dgm:prSet presAssocID="{DB0DDD43-3E42-41DD-B160-816BEB4531E5}" presName="Parent" presStyleLbl="alignNode1" presStyleIdx="0" presStyleCnt="1" custScaleX="44153" custLinFactNeighborX="-27923">
        <dgm:presLayoutVars>
          <dgm:chMax val="3"/>
          <dgm:chPref val="3"/>
          <dgm:bulletEnabled val="1"/>
        </dgm:presLayoutVars>
      </dgm:prSet>
      <dgm:spPr/>
      <dgm:t>
        <a:bodyPr/>
        <a:lstStyle/>
        <a:p>
          <a:endParaRPr lang="fr-FR"/>
        </a:p>
      </dgm:t>
    </dgm:pt>
    <dgm:pt modelId="{04B4ABB5-84D6-4E97-93D7-6618614B7D2F}" type="pres">
      <dgm:prSet presAssocID="{DB0DDD43-3E42-41DD-B160-816BEB4531E5}" presName="Accent" presStyleLbl="parChTrans1D1" presStyleIdx="0" presStyleCnt="1"/>
      <dgm:spPr>
        <a:xfrm>
          <a:off x="0" y="368263"/>
          <a:ext cx="5895975" cy="0"/>
        </a:xfrm>
        <a:prstGeom prst="line">
          <a:avLst/>
        </a:prstGeom>
        <a:noFill/>
        <a:ln w="25400" cap="flat" cmpd="sng" algn="ctr">
          <a:solidFill>
            <a:srgbClr val="9BBB59">
              <a:shade val="60000"/>
              <a:hueOff val="0"/>
              <a:satOff val="0"/>
              <a:lumOff val="0"/>
              <a:alphaOff val="0"/>
            </a:srgbClr>
          </a:solidFill>
          <a:prstDash val="solid"/>
        </a:ln>
        <a:effectLst/>
      </dgm:spPr>
      <dgm:t>
        <a:bodyPr/>
        <a:lstStyle/>
        <a:p>
          <a:endParaRPr lang="fr-FR"/>
        </a:p>
      </dgm:t>
    </dgm:pt>
    <dgm:pt modelId="{E8AB1E02-C604-4BCD-B4C7-395E4A57BD61}" type="pres">
      <dgm:prSet presAssocID="{DB0DDD43-3E42-41DD-B160-816BEB4531E5}" presName="Child" presStyleLbl="revTx" presStyleIdx="1" presStyleCnt="2">
        <dgm:presLayoutVars>
          <dgm:chMax val="0"/>
          <dgm:chPref val="0"/>
          <dgm:bulletEnabled val="1"/>
        </dgm:presLayoutVars>
      </dgm:prSet>
      <dgm:spPr/>
      <dgm:t>
        <a:bodyPr/>
        <a:lstStyle/>
        <a:p>
          <a:endParaRPr lang="fr-FR"/>
        </a:p>
      </dgm:t>
    </dgm:pt>
  </dgm:ptLst>
  <dgm:cxnLst>
    <dgm:cxn modelId="{1840090F-FCD6-44D9-B5D8-18C650DED1D4}" srcId="{DB0DDD43-3E42-41DD-B160-816BEB4531E5}" destId="{F8435DD9-7E46-409A-ADED-3F8BD61CA0E2}" srcOrd="0" destOrd="0" parTransId="{93A07A27-6C53-401E-A3F2-525C626F1483}" sibTransId="{F2859BC6-84DB-4A77-8D26-EF96EC4285F4}"/>
    <dgm:cxn modelId="{15919A99-45B8-4A04-94F8-A466FE478AFF}" type="presOf" srcId="{C4A48B8C-7FCC-483E-9E88-41A60A13A77B}" destId="{E8AB1E02-C604-4BCD-B4C7-395E4A57BD61}" srcOrd="0" destOrd="1" presId="urn:microsoft.com/office/officeart/2011/layout/TabList"/>
    <dgm:cxn modelId="{092BA68C-DD1E-40BF-BF8A-93906D9894AB}" type="presOf" srcId="{F8435DD9-7E46-409A-ADED-3F8BD61CA0E2}" destId="{3367E8FF-BBEC-44ED-9B45-50233ED21F38}" srcOrd="0" destOrd="0" presId="urn:microsoft.com/office/officeart/2011/layout/TabList"/>
    <dgm:cxn modelId="{AF0D4245-8210-49DD-9C17-9F90026A91B0}" srcId="{93B12CCA-E787-4286-803D-8D1C66F9271A}" destId="{DB0DDD43-3E42-41DD-B160-816BEB4531E5}" srcOrd="0" destOrd="0" parTransId="{36EEAA6D-E1E3-438A-A1BA-DBEF38459F4B}" sibTransId="{CFFF2C85-6A86-4D98-AC1F-4A15CF5FBD43}"/>
    <dgm:cxn modelId="{F94758F4-E59A-468E-A2FD-B725FE495672}" srcId="{DB0DDD43-3E42-41DD-B160-816BEB4531E5}" destId="{C4A48B8C-7FCC-483E-9E88-41A60A13A77B}" srcOrd="2" destOrd="0" parTransId="{ED4210D3-EC5E-4B7E-A7F0-B179BEB22CBA}" sibTransId="{E53B5C3F-321D-4077-92F2-628C0951BDD8}"/>
    <dgm:cxn modelId="{46B5C761-E472-44EE-8D4C-FB038D0E5CE2}" type="presOf" srcId="{93B12CCA-E787-4286-803D-8D1C66F9271A}" destId="{A23D58FF-31CC-44D8-B1FE-7955960FB969}" srcOrd="0" destOrd="0" presId="urn:microsoft.com/office/officeart/2011/layout/TabList"/>
    <dgm:cxn modelId="{590612E7-5157-46DD-A26E-C672CA1682BF}" type="presOf" srcId="{BD38DCE7-F8F9-4F18-8F40-899D9A44141E}" destId="{E8AB1E02-C604-4BCD-B4C7-395E4A57BD61}" srcOrd="0" destOrd="0" presId="urn:microsoft.com/office/officeart/2011/layout/TabList"/>
    <dgm:cxn modelId="{AE44CD00-249D-4ABC-BE98-5BCB6ECAFEDB}" type="presOf" srcId="{DB0DDD43-3E42-41DD-B160-816BEB4531E5}" destId="{247F3F79-6E25-4CA9-8B0E-FAEB3C894FC7}" srcOrd="0" destOrd="0" presId="urn:microsoft.com/office/officeart/2011/layout/TabList"/>
    <dgm:cxn modelId="{A206468E-26A4-4879-B1D7-72C75F23A456}" srcId="{DB0DDD43-3E42-41DD-B160-816BEB4531E5}" destId="{BD38DCE7-F8F9-4F18-8F40-899D9A44141E}" srcOrd="1" destOrd="0" parTransId="{44B7EF97-6BB1-4945-A109-73827DE88747}" sibTransId="{E15AF197-06F6-4A6D-92FD-57C442D8B56D}"/>
    <dgm:cxn modelId="{25F31043-A9B6-4ABA-9ADB-F70FDD4F2349}" type="presParOf" srcId="{A23D58FF-31CC-44D8-B1FE-7955960FB969}" destId="{18E556ED-9B1F-4D8A-98F4-2C131B8BABEC}" srcOrd="0" destOrd="0" presId="urn:microsoft.com/office/officeart/2011/layout/TabList"/>
    <dgm:cxn modelId="{6FE1CE58-59F0-4478-92B9-2DF334AB2F63}" type="presParOf" srcId="{18E556ED-9B1F-4D8A-98F4-2C131B8BABEC}" destId="{3367E8FF-BBEC-44ED-9B45-50233ED21F38}" srcOrd="0" destOrd="0" presId="urn:microsoft.com/office/officeart/2011/layout/TabList"/>
    <dgm:cxn modelId="{13E2A703-3284-4243-ABF3-9C25B3B27081}" type="presParOf" srcId="{18E556ED-9B1F-4D8A-98F4-2C131B8BABEC}" destId="{247F3F79-6E25-4CA9-8B0E-FAEB3C894FC7}" srcOrd="1" destOrd="0" presId="urn:microsoft.com/office/officeart/2011/layout/TabList"/>
    <dgm:cxn modelId="{F76A9B6B-BEE6-41FE-B47E-AA4235DC242A}" type="presParOf" srcId="{18E556ED-9B1F-4D8A-98F4-2C131B8BABEC}" destId="{04B4ABB5-84D6-4E97-93D7-6618614B7D2F}" srcOrd="2" destOrd="0" presId="urn:microsoft.com/office/officeart/2011/layout/TabList"/>
    <dgm:cxn modelId="{768F79A8-5258-476C-95AF-95E6176ABE23}" type="presParOf" srcId="{A23D58FF-31CC-44D8-B1FE-7955960FB969}" destId="{E8AB1E02-C604-4BCD-B4C7-395E4A57BD61}" srcOrd="1" destOrd="0" presId="urn:microsoft.com/office/officeart/2011/layout/TabList"/>
  </dgm:cxnLst>
  <dgm:bg/>
  <dgm:whole/>
  <dgm:extLst>
    <a:ext uri="http://schemas.microsoft.com/office/drawing/2008/diagram">
      <dsp:dataModelExt xmlns:dsp="http://schemas.microsoft.com/office/drawing/2008/diagram" xmlns="" relId="rId4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93B12CCA-E787-4286-803D-8D1C66F9271A}" type="doc">
      <dgm:prSet loTypeId="urn:microsoft.com/office/officeart/2011/layout/TabList" loCatId="officeonline" qsTypeId="urn:microsoft.com/office/officeart/2005/8/quickstyle/simple1#7" qsCatId="simple" csTypeId="urn:microsoft.com/office/officeart/2005/8/colors/accent3_2" csCatId="accent3" phldr="1"/>
      <dgm:spPr/>
      <dgm:t>
        <a:bodyPr/>
        <a:lstStyle/>
        <a:p>
          <a:endParaRPr lang="fr-FR"/>
        </a:p>
      </dgm:t>
    </dgm:pt>
    <dgm:pt modelId="{DB0DDD43-3E42-41DD-B160-816BEB4531E5}">
      <dgm:prSet phldrT="[Texte]"/>
      <dgm:spPr>
        <a:xfrm>
          <a:off x="0" y="2"/>
          <a:ext cx="695433" cy="358388"/>
        </a:xfrm>
        <a:solidFill>
          <a:srgbClr val="9BBB59">
            <a:hueOff val="0"/>
            <a:satOff val="0"/>
            <a:lumOff val="0"/>
            <a:alphaOff val="0"/>
          </a:srgbClr>
        </a:solidFill>
        <a:ln w="25400" cap="flat" cmpd="sng" algn="ctr">
          <a:solidFill>
            <a:srgbClr val="9BBB59">
              <a:hueOff val="0"/>
              <a:satOff val="0"/>
              <a:lumOff val="0"/>
              <a:alphaOff val="0"/>
            </a:srgbClr>
          </a:solidFill>
          <a:prstDash val="solid"/>
        </a:ln>
        <a:effectLst/>
      </dgm:spPr>
      <dgm:t>
        <a:bodyPr/>
        <a:lstStyle/>
        <a:p>
          <a:endParaRPr lang="fr-FR">
            <a:solidFill>
              <a:sysClr val="window" lastClr="FFFFFF"/>
            </a:solidFill>
            <a:latin typeface="Calibri"/>
            <a:ea typeface="+mn-ea"/>
            <a:cs typeface="+mn-cs"/>
          </a:endParaRPr>
        </a:p>
      </dgm:t>
    </dgm:pt>
    <dgm:pt modelId="{36EEAA6D-E1E3-438A-A1BA-DBEF38459F4B}" type="parTrans" cxnId="{AF0D4245-8210-49DD-9C17-9F90026A91B0}">
      <dgm:prSet/>
      <dgm:spPr/>
      <dgm:t>
        <a:bodyPr/>
        <a:lstStyle/>
        <a:p>
          <a:endParaRPr lang="fr-FR"/>
        </a:p>
      </dgm:t>
    </dgm:pt>
    <dgm:pt modelId="{CFFF2C85-6A86-4D98-AC1F-4A15CF5FBD43}" type="sibTrans" cxnId="{AF0D4245-8210-49DD-9C17-9F90026A91B0}">
      <dgm:prSet/>
      <dgm:spPr/>
      <dgm:t>
        <a:bodyPr/>
        <a:lstStyle/>
        <a:p>
          <a:endParaRPr lang="fr-FR"/>
        </a:p>
      </dgm:t>
    </dgm:pt>
    <dgm:pt modelId="{F8435DD9-7E46-409A-ADED-3F8BD61CA0E2}">
      <dgm:prSet phldrT="[Texte]" custT="1"/>
      <dgm:spPr>
        <a:xfrm>
          <a:off x="890321" y="2"/>
          <a:ext cx="4953634" cy="358388"/>
        </a:xfrm>
        <a:noFill/>
        <a:ln>
          <a:noFill/>
        </a:ln>
        <a:effectLst/>
      </dgm:spPr>
      <dgm:t>
        <a:bodyPr/>
        <a:lstStyle/>
        <a:p>
          <a:r>
            <a:rPr lang="fr-FR" sz="1900">
              <a:solidFill>
                <a:sysClr val="windowText" lastClr="000000">
                  <a:hueOff val="0"/>
                  <a:satOff val="0"/>
                  <a:lumOff val="0"/>
                  <a:alphaOff val="0"/>
                </a:sysClr>
              </a:solidFill>
              <a:latin typeface="Calibri"/>
              <a:ea typeface="+mn-ea"/>
              <a:cs typeface="+mn-cs"/>
            </a:rPr>
            <a:t>Nature des clauses sociales utilisées   </a:t>
          </a:r>
        </a:p>
      </dgm:t>
    </dgm:pt>
    <dgm:pt modelId="{93A07A27-6C53-401E-A3F2-525C626F1483}" type="parTrans" cxnId="{1840090F-FCD6-44D9-B5D8-18C650DED1D4}">
      <dgm:prSet/>
      <dgm:spPr/>
      <dgm:t>
        <a:bodyPr/>
        <a:lstStyle/>
        <a:p>
          <a:endParaRPr lang="fr-FR"/>
        </a:p>
      </dgm:t>
    </dgm:pt>
    <dgm:pt modelId="{F2859BC6-84DB-4A77-8D26-EF96EC4285F4}" type="sibTrans" cxnId="{1840090F-FCD6-44D9-B5D8-18C650DED1D4}">
      <dgm:prSet/>
      <dgm:spPr/>
      <dgm:t>
        <a:bodyPr/>
        <a:lstStyle/>
        <a:p>
          <a:endParaRPr lang="fr-FR"/>
        </a:p>
      </dgm:t>
    </dgm:pt>
    <dgm:pt modelId="{BD38DCE7-F8F9-4F18-8F40-899D9A44141E}">
      <dgm:prSet phldrT="[Texte]"/>
      <dgm:spPr>
        <a:xfrm>
          <a:off x="0" y="359439"/>
          <a:ext cx="6057900" cy="716885"/>
        </a:xfrm>
        <a:noFill/>
        <a:ln>
          <a:noFill/>
        </a:ln>
        <a:effectLst/>
      </dgm:spPr>
      <dgm:t>
        <a:bodyPr/>
        <a:lstStyle/>
        <a:p>
          <a:endParaRPr lang="fr-FR" sz="1600">
            <a:solidFill>
              <a:sysClr val="windowText" lastClr="000000">
                <a:hueOff val="0"/>
                <a:satOff val="0"/>
                <a:lumOff val="0"/>
                <a:alphaOff val="0"/>
              </a:sysClr>
            </a:solidFill>
            <a:latin typeface="Calibri"/>
            <a:ea typeface="+mn-ea"/>
            <a:cs typeface="+mn-cs"/>
          </a:endParaRPr>
        </a:p>
      </dgm:t>
    </dgm:pt>
    <dgm:pt modelId="{44B7EF97-6BB1-4945-A109-73827DE88747}" type="parTrans" cxnId="{A206468E-26A4-4879-B1D7-72C75F23A456}">
      <dgm:prSet/>
      <dgm:spPr/>
      <dgm:t>
        <a:bodyPr/>
        <a:lstStyle/>
        <a:p>
          <a:endParaRPr lang="fr-FR"/>
        </a:p>
      </dgm:t>
    </dgm:pt>
    <dgm:pt modelId="{E15AF197-06F6-4A6D-92FD-57C442D8B56D}" type="sibTrans" cxnId="{A206468E-26A4-4879-B1D7-72C75F23A456}">
      <dgm:prSet/>
      <dgm:spPr/>
      <dgm:t>
        <a:bodyPr/>
        <a:lstStyle/>
        <a:p>
          <a:endParaRPr lang="fr-FR"/>
        </a:p>
      </dgm:t>
    </dgm:pt>
    <dgm:pt modelId="{C4A48B8C-7FCC-483E-9E88-41A60A13A77B}">
      <dgm:prSet phldrT="[Texte]" custT="1"/>
      <dgm:spPr>
        <a:xfrm>
          <a:off x="0" y="359439"/>
          <a:ext cx="6057900" cy="716885"/>
        </a:xfrm>
        <a:noFill/>
        <a:ln>
          <a:noFill/>
        </a:ln>
        <a:effectLst/>
      </dgm:spPr>
      <dgm:t>
        <a:bodyPr/>
        <a:lstStyle/>
        <a:p>
          <a:r>
            <a:rPr lang="fr-FR" sz="1800">
              <a:solidFill>
                <a:srgbClr val="9BBB59">
                  <a:lumMod val="50000"/>
                </a:srgbClr>
              </a:solidFill>
              <a:latin typeface="Calibri"/>
              <a:ea typeface="+mn-ea"/>
              <a:cs typeface="+mn-cs"/>
            </a:rPr>
            <a:t>Répartition des heures par type de marché </a:t>
          </a:r>
        </a:p>
      </dgm:t>
    </dgm:pt>
    <dgm:pt modelId="{ED4210D3-EC5E-4B7E-A7F0-B179BEB22CBA}" type="parTrans" cxnId="{F94758F4-E59A-468E-A2FD-B725FE495672}">
      <dgm:prSet/>
      <dgm:spPr/>
      <dgm:t>
        <a:bodyPr/>
        <a:lstStyle/>
        <a:p>
          <a:endParaRPr lang="fr-FR"/>
        </a:p>
      </dgm:t>
    </dgm:pt>
    <dgm:pt modelId="{E53B5C3F-321D-4077-92F2-628C0951BDD8}" type="sibTrans" cxnId="{F94758F4-E59A-468E-A2FD-B725FE495672}">
      <dgm:prSet/>
      <dgm:spPr/>
      <dgm:t>
        <a:bodyPr/>
        <a:lstStyle/>
        <a:p>
          <a:endParaRPr lang="fr-FR"/>
        </a:p>
      </dgm:t>
    </dgm:pt>
    <dgm:pt modelId="{A23D58FF-31CC-44D8-B1FE-7955960FB969}" type="pres">
      <dgm:prSet presAssocID="{93B12CCA-E787-4286-803D-8D1C66F9271A}" presName="Name0" presStyleCnt="0">
        <dgm:presLayoutVars>
          <dgm:chMax/>
          <dgm:chPref val="3"/>
          <dgm:dir/>
          <dgm:animOne val="branch"/>
          <dgm:animLvl val="lvl"/>
        </dgm:presLayoutVars>
      </dgm:prSet>
      <dgm:spPr/>
      <dgm:t>
        <a:bodyPr/>
        <a:lstStyle/>
        <a:p>
          <a:endParaRPr lang="fr-FR"/>
        </a:p>
      </dgm:t>
    </dgm:pt>
    <dgm:pt modelId="{18E556ED-9B1F-4D8A-98F4-2C131B8BABEC}" type="pres">
      <dgm:prSet presAssocID="{DB0DDD43-3E42-41DD-B160-816BEB4531E5}" presName="composite" presStyleCnt="0"/>
      <dgm:spPr/>
    </dgm:pt>
    <dgm:pt modelId="{3367E8FF-BBEC-44ED-9B45-50233ED21F38}" type="pres">
      <dgm:prSet presAssocID="{DB0DDD43-3E42-41DD-B160-816BEB4531E5}" presName="FirstChild" presStyleLbl="revTx" presStyleIdx="0" presStyleCnt="2" custScaleX="110502" custLinFactY="-65041" custLinFactNeighborX="-10079" custLinFactNeighborY="-100000">
        <dgm:presLayoutVars>
          <dgm:chMax val="0"/>
          <dgm:chPref val="0"/>
          <dgm:bulletEnabled val="1"/>
        </dgm:presLayoutVars>
      </dgm:prSet>
      <dgm:spPr>
        <a:prstGeom prst="rect">
          <a:avLst/>
        </a:prstGeom>
      </dgm:spPr>
      <dgm:t>
        <a:bodyPr/>
        <a:lstStyle/>
        <a:p>
          <a:endParaRPr lang="fr-FR"/>
        </a:p>
      </dgm:t>
    </dgm:pt>
    <dgm:pt modelId="{247F3F79-6E25-4CA9-8B0E-FAEB3C894FC7}" type="pres">
      <dgm:prSet presAssocID="{DB0DDD43-3E42-41DD-B160-816BEB4531E5}" presName="Parent" presStyleLbl="alignNode1" presStyleIdx="0" presStyleCnt="1" custScaleX="44153" custLinFactNeighborX="-20451" custLinFactNeighborY="-146">
        <dgm:presLayoutVars>
          <dgm:chMax val="3"/>
          <dgm:chPref val="3"/>
          <dgm:bulletEnabled val="1"/>
        </dgm:presLayoutVars>
      </dgm:prSet>
      <dgm:spPr>
        <a:prstGeom prst="round2SameRect">
          <a:avLst>
            <a:gd name="adj1" fmla="val 16670"/>
            <a:gd name="adj2" fmla="val 0"/>
          </a:avLst>
        </a:prstGeom>
      </dgm:spPr>
      <dgm:t>
        <a:bodyPr/>
        <a:lstStyle/>
        <a:p>
          <a:endParaRPr lang="fr-FR"/>
        </a:p>
      </dgm:t>
    </dgm:pt>
    <dgm:pt modelId="{04B4ABB5-84D6-4E97-93D7-6618614B7D2F}" type="pres">
      <dgm:prSet presAssocID="{DB0DDD43-3E42-41DD-B160-816BEB4531E5}" presName="Accent" presStyleLbl="parChTrans1D1" presStyleIdx="0" presStyleCnt="1" custLinFactNeighborX="1935" custLinFactNeighborY="-26458"/>
      <dgm:spPr>
        <a:xfrm>
          <a:off x="-117697" y="358914"/>
          <a:ext cx="6057900" cy="0"/>
        </a:xfrm>
        <a:prstGeom prst="line">
          <a:avLst/>
        </a:prstGeom>
        <a:noFill/>
        <a:ln w="25400" cap="flat" cmpd="sng" algn="ctr">
          <a:solidFill>
            <a:srgbClr val="9BBB59">
              <a:shade val="60000"/>
              <a:hueOff val="0"/>
              <a:satOff val="0"/>
              <a:lumOff val="0"/>
              <a:alphaOff val="0"/>
            </a:srgbClr>
          </a:solidFill>
          <a:prstDash val="solid"/>
        </a:ln>
        <a:effectLst/>
      </dgm:spPr>
      <dgm:t>
        <a:bodyPr/>
        <a:lstStyle/>
        <a:p>
          <a:endParaRPr lang="fr-FR"/>
        </a:p>
      </dgm:t>
    </dgm:pt>
    <dgm:pt modelId="{E8AB1E02-C604-4BCD-B4C7-395E4A57BD61}" type="pres">
      <dgm:prSet presAssocID="{DB0DDD43-3E42-41DD-B160-816BEB4531E5}" presName="Child" presStyleLbl="revTx" presStyleIdx="1" presStyleCnt="2" custLinFactNeighborY="147">
        <dgm:presLayoutVars>
          <dgm:chMax val="0"/>
          <dgm:chPref val="0"/>
          <dgm:bulletEnabled val="1"/>
        </dgm:presLayoutVars>
      </dgm:prSet>
      <dgm:spPr>
        <a:prstGeom prst="rect">
          <a:avLst/>
        </a:prstGeom>
      </dgm:spPr>
      <dgm:t>
        <a:bodyPr/>
        <a:lstStyle/>
        <a:p>
          <a:endParaRPr lang="fr-FR"/>
        </a:p>
      </dgm:t>
    </dgm:pt>
  </dgm:ptLst>
  <dgm:cxnLst>
    <dgm:cxn modelId="{1840090F-FCD6-44D9-B5D8-18C650DED1D4}" srcId="{DB0DDD43-3E42-41DD-B160-816BEB4531E5}" destId="{F8435DD9-7E46-409A-ADED-3F8BD61CA0E2}" srcOrd="0" destOrd="0" parTransId="{93A07A27-6C53-401E-A3F2-525C626F1483}" sibTransId="{F2859BC6-84DB-4A77-8D26-EF96EC4285F4}"/>
    <dgm:cxn modelId="{C5D0B374-2AC6-4673-A491-756DAD60F589}" type="presOf" srcId="{F8435DD9-7E46-409A-ADED-3F8BD61CA0E2}" destId="{3367E8FF-BBEC-44ED-9B45-50233ED21F38}" srcOrd="0" destOrd="0" presId="urn:microsoft.com/office/officeart/2011/layout/TabList"/>
    <dgm:cxn modelId="{31D57E41-1CB4-47CF-88CA-4A3275640236}" type="presOf" srcId="{BD38DCE7-F8F9-4F18-8F40-899D9A44141E}" destId="{E8AB1E02-C604-4BCD-B4C7-395E4A57BD61}" srcOrd="0" destOrd="0" presId="urn:microsoft.com/office/officeart/2011/layout/TabList"/>
    <dgm:cxn modelId="{AF0D4245-8210-49DD-9C17-9F90026A91B0}" srcId="{93B12CCA-E787-4286-803D-8D1C66F9271A}" destId="{DB0DDD43-3E42-41DD-B160-816BEB4531E5}" srcOrd="0" destOrd="0" parTransId="{36EEAA6D-E1E3-438A-A1BA-DBEF38459F4B}" sibTransId="{CFFF2C85-6A86-4D98-AC1F-4A15CF5FBD43}"/>
    <dgm:cxn modelId="{F94758F4-E59A-468E-A2FD-B725FE495672}" srcId="{DB0DDD43-3E42-41DD-B160-816BEB4531E5}" destId="{C4A48B8C-7FCC-483E-9E88-41A60A13A77B}" srcOrd="2" destOrd="0" parTransId="{ED4210D3-EC5E-4B7E-A7F0-B179BEB22CBA}" sibTransId="{E53B5C3F-321D-4077-92F2-628C0951BDD8}"/>
    <dgm:cxn modelId="{79B9773A-F3A9-4700-A625-291E1417EEB6}" type="presOf" srcId="{DB0DDD43-3E42-41DD-B160-816BEB4531E5}" destId="{247F3F79-6E25-4CA9-8B0E-FAEB3C894FC7}" srcOrd="0" destOrd="0" presId="urn:microsoft.com/office/officeart/2011/layout/TabList"/>
    <dgm:cxn modelId="{A206468E-26A4-4879-B1D7-72C75F23A456}" srcId="{DB0DDD43-3E42-41DD-B160-816BEB4531E5}" destId="{BD38DCE7-F8F9-4F18-8F40-899D9A44141E}" srcOrd="1" destOrd="0" parTransId="{44B7EF97-6BB1-4945-A109-73827DE88747}" sibTransId="{E15AF197-06F6-4A6D-92FD-57C442D8B56D}"/>
    <dgm:cxn modelId="{F511B24D-845D-44AB-A6D8-E1FCC539E896}" type="presOf" srcId="{93B12CCA-E787-4286-803D-8D1C66F9271A}" destId="{A23D58FF-31CC-44D8-B1FE-7955960FB969}" srcOrd="0" destOrd="0" presId="urn:microsoft.com/office/officeart/2011/layout/TabList"/>
    <dgm:cxn modelId="{98D3B7A3-912A-49D9-85ED-0D15C9AD68C2}" type="presOf" srcId="{C4A48B8C-7FCC-483E-9E88-41A60A13A77B}" destId="{E8AB1E02-C604-4BCD-B4C7-395E4A57BD61}" srcOrd="0" destOrd="1" presId="urn:microsoft.com/office/officeart/2011/layout/TabList"/>
    <dgm:cxn modelId="{A9D1E58F-1854-4F98-942C-B56170F6E48D}" type="presParOf" srcId="{A23D58FF-31CC-44D8-B1FE-7955960FB969}" destId="{18E556ED-9B1F-4D8A-98F4-2C131B8BABEC}" srcOrd="0" destOrd="0" presId="urn:microsoft.com/office/officeart/2011/layout/TabList"/>
    <dgm:cxn modelId="{CC77E531-0696-488B-8834-1D0895596735}" type="presParOf" srcId="{18E556ED-9B1F-4D8A-98F4-2C131B8BABEC}" destId="{3367E8FF-BBEC-44ED-9B45-50233ED21F38}" srcOrd="0" destOrd="0" presId="urn:microsoft.com/office/officeart/2011/layout/TabList"/>
    <dgm:cxn modelId="{4C5FE466-902E-48E4-99FE-082AF025067B}" type="presParOf" srcId="{18E556ED-9B1F-4D8A-98F4-2C131B8BABEC}" destId="{247F3F79-6E25-4CA9-8B0E-FAEB3C894FC7}" srcOrd="1" destOrd="0" presId="urn:microsoft.com/office/officeart/2011/layout/TabList"/>
    <dgm:cxn modelId="{D3CC1570-580C-4A99-AF87-16D0674C3123}" type="presParOf" srcId="{18E556ED-9B1F-4D8A-98F4-2C131B8BABEC}" destId="{04B4ABB5-84D6-4E97-93D7-6618614B7D2F}" srcOrd="2" destOrd="0" presId="urn:microsoft.com/office/officeart/2011/layout/TabList"/>
    <dgm:cxn modelId="{41F82BFA-EC67-4521-8392-DEBA319A91E1}" type="presParOf" srcId="{A23D58FF-31CC-44D8-B1FE-7955960FB969}" destId="{E8AB1E02-C604-4BCD-B4C7-395E4A57BD61}" srcOrd="1" destOrd="0" presId="urn:microsoft.com/office/officeart/2011/layout/TabList"/>
  </dgm:cxnLst>
  <dgm:bg/>
  <dgm:whole/>
  <dgm:extLst>
    <a:ext uri="http://schemas.microsoft.com/office/drawing/2008/diagram">
      <dsp:dataModelExt xmlns:dsp="http://schemas.microsoft.com/office/drawing/2008/diagram" xmlns="" relId="rId5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93B12CCA-E787-4286-803D-8D1C66F9271A}" type="doc">
      <dgm:prSet loTypeId="urn:microsoft.com/office/officeart/2011/layout/TabList" loCatId="officeonline" qsTypeId="urn:microsoft.com/office/officeart/2005/8/quickstyle/simple1#8" qsCatId="simple" csTypeId="urn:microsoft.com/office/officeart/2005/8/colors/accent3_2" csCatId="accent3" phldr="1"/>
      <dgm:spPr/>
      <dgm:t>
        <a:bodyPr/>
        <a:lstStyle/>
        <a:p>
          <a:endParaRPr lang="fr-FR"/>
        </a:p>
      </dgm:t>
    </dgm:pt>
    <dgm:pt modelId="{DB0DDD43-3E42-41DD-B160-816BEB4531E5}">
      <dgm:prSet phldrT="[Texte]"/>
      <dgm:spPr>
        <a:xfrm>
          <a:off x="0" y="525"/>
          <a:ext cx="699807" cy="358388"/>
        </a:xfrm>
        <a:solidFill>
          <a:srgbClr val="9BBB59">
            <a:hueOff val="0"/>
            <a:satOff val="0"/>
            <a:lumOff val="0"/>
            <a:alphaOff val="0"/>
          </a:srgbClr>
        </a:solidFill>
        <a:ln w="25400" cap="flat" cmpd="sng" algn="ctr">
          <a:solidFill>
            <a:srgbClr val="9BBB59">
              <a:hueOff val="0"/>
              <a:satOff val="0"/>
              <a:lumOff val="0"/>
              <a:alphaOff val="0"/>
            </a:srgbClr>
          </a:solidFill>
          <a:prstDash val="solid"/>
        </a:ln>
        <a:effectLst/>
      </dgm:spPr>
      <dgm:t>
        <a:bodyPr/>
        <a:lstStyle/>
        <a:p>
          <a:endParaRPr lang="fr-FR">
            <a:solidFill>
              <a:sysClr val="window" lastClr="FFFFFF"/>
            </a:solidFill>
            <a:latin typeface="Calibri"/>
            <a:ea typeface="+mn-ea"/>
            <a:cs typeface="+mn-cs"/>
          </a:endParaRPr>
        </a:p>
      </dgm:t>
    </dgm:pt>
    <dgm:pt modelId="{36EEAA6D-E1E3-438A-A1BA-DBEF38459F4B}" type="parTrans" cxnId="{AF0D4245-8210-49DD-9C17-9F90026A91B0}">
      <dgm:prSet/>
      <dgm:spPr/>
      <dgm:t>
        <a:bodyPr/>
        <a:lstStyle/>
        <a:p>
          <a:endParaRPr lang="fr-FR"/>
        </a:p>
      </dgm:t>
    </dgm:pt>
    <dgm:pt modelId="{CFFF2C85-6A86-4D98-AC1F-4A15CF5FBD43}" type="sibTrans" cxnId="{AF0D4245-8210-49DD-9C17-9F90026A91B0}">
      <dgm:prSet/>
      <dgm:spPr/>
      <dgm:t>
        <a:bodyPr/>
        <a:lstStyle/>
        <a:p>
          <a:endParaRPr lang="fr-FR"/>
        </a:p>
      </dgm:t>
    </dgm:pt>
    <dgm:pt modelId="{F8435DD9-7E46-409A-ADED-3F8BD61CA0E2}">
      <dgm:prSet phldrT="[Texte]" custT="1"/>
      <dgm:spPr>
        <a:xfrm>
          <a:off x="895921" y="2"/>
          <a:ext cx="4984789" cy="358388"/>
        </a:xfrm>
        <a:noFill/>
        <a:ln>
          <a:noFill/>
        </a:ln>
        <a:effectLst/>
      </dgm:spPr>
      <dgm:t>
        <a:bodyPr/>
        <a:lstStyle/>
        <a:p>
          <a:r>
            <a:rPr lang="fr-FR" sz="1900">
              <a:solidFill>
                <a:sysClr val="windowText" lastClr="000000">
                  <a:hueOff val="0"/>
                  <a:satOff val="0"/>
                  <a:lumOff val="0"/>
                  <a:alphaOff val="0"/>
                </a:sysClr>
              </a:solidFill>
              <a:latin typeface="Calibri"/>
              <a:ea typeface="+mn-ea"/>
              <a:cs typeface="+mn-cs"/>
            </a:rPr>
            <a:t>Modalités de réalisation des heures insertion </a:t>
          </a:r>
        </a:p>
      </dgm:t>
    </dgm:pt>
    <dgm:pt modelId="{93A07A27-6C53-401E-A3F2-525C626F1483}" type="parTrans" cxnId="{1840090F-FCD6-44D9-B5D8-18C650DED1D4}">
      <dgm:prSet/>
      <dgm:spPr/>
      <dgm:t>
        <a:bodyPr/>
        <a:lstStyle/>
        <a:p>
          <a:endParaRPr lang="fr-FR"/>
        </a:p>
      </dgm:t>
    </dgm:pt>
    <dgm:pt modelId="{F2859BC6-84DB-4A77-8D26-EF96EC4285F4}" type="sibTrans" cxnId="{1840090F-FCD6-44D9-B5D8-18C650DED1D4}">
      <dgm:prSet/>
      <dgm:spPr/>
      <dgm:t>
        <a:bodyPr/>
        <a:lstStyle/>
        <a:p>
          <a:endParaRPr lang="fr-FR"/>
        </a:p>
      </dgm:t>
    </dgm:pt>
    <dgm:pt modelId="{BD38DCE7-F8F9-4F18-8F40-899D9A44141E}">
      <dgm:prSet phldrT="[Texte]"/>
      <dgm:spPr>
        <a:xfrm>
          <a:off x="0" y="358914"/>
          <a:ext cx="6096000" cy="716885"/>
        </a:xfrm>
        <a:noFill/>
        <a:ln>
          <a:noFill/>
        </a:ln>
        <a:effectLst/>
      </dgm:spPr>
      <dgm:t>
        <a:bodyPr/>
        <a:lstStyle/>
        <a:p>
          <a:endParaRPr lang="fr-FR" sz="1600">
            <a:solidFill>
              <a:sysClr val="windowText" lastClr="000000">
                <a:hueOff val="0"/>
                <a:satOff val="0"/>
                <a:lumOff val="0"/>
                <a:alphaOff val="0"/>
              </a:sysClr>
            </a:solidFill>
            <a:latin typeface="Calibri"/>
            <a:ea typeface="+mn-ea"/>
            <a:cs typeface="+mn-cs"/>
          </a:endParaRPr>
        </a:p>
      </dgm:t>
    </dgm:pt>
    <dgm:pt modelId="{44B7EF97-6BB1-4945-A109-73827DE88747}" type="parTrans" cxnId="{A206468E-26A4-4879-B1D7-72C75F23A456}">
      <dgm:prSet/>
      <dgm:spPr/>
      <dgm:t>
        <a:bodyPr/>
        <a:lstStyle/>
        <a:p>
          <a:endParaRPr lang="fr-FR"/>
        </a:p>
      </dgm:t>
    </dgm:pt>
    <dgm:pt modelId="{E15AF197-06F6-4A6D-92FD-57C442D8B56D}" type="sibTrans" cxnId="{A206468E-26A4-4879-B1D7-72C75F23A456}">
      <dgm:prSet/>
      <dgm:spPr/>
      <dgm:t>
        <a:bodyPr/>
        <a:lstStyle/>
        <a:p>
          <a:endParaRPr lang="fr-FR"/>
        </a:p>
      </dgm:t>
    </dgm:pt>
    <dgm:pt modelId="{C4A48B8C-7FCC-483E-9E88-41A60A13A77B}">
      <dgm:prSet phldrT="[Texte]" custT="1"/>
      <dgm:spPr>
        <a:xfrm>
          <a:off x="0" y="358914"/>
          <a:ext cx="6096000" cy="716885"/>
        </a:xfrm>
        <a:noFill/>
        <a:ln>
          <a:noFill/>
        </a:ln>
        <a:effectLst/>
      </dgm:spPr>
      <dgm:t>
        <a:bodyPr/>
        <a:lstStyle/>
        <a:p>
          <a:r>
            <a:rPr lang="fr-FR" sz="1800">
              <a:solidFill>
                <a:srgbClr val="9BBB59">
                  <a:lumMod val="50000"/>
                </a:srgbClr>
              </a:solidFill>
              <a:latin typeface="Calibri"/>
              <a:ea typeface="+mn-ea"/>
              <a:cs typeface="+mn-cs"/>
            </a:rPr>
            <a:t>Ventilation des heures réalisées en 2012 </a:t>
          </a:r>
        </a:p>
      </dgm:t>
    </dgm:pt>
    <dgm:pt modelId="{ED4210D3-EC5E-4B7E-A7F0-B179BEB22CBA}" type="parTrans" cxnId="{F94758F4-E59A-468E-A2FD-B725FE495672}">
      <dgm:prSet/>
      <dgm:spPr/>
      <dgm:t>
        <a:bodyPr/>
        <a:lstStyle/>
        <a:p>
          <a:endParaRPr lang="fr-FR"/>
        </a:p>
      </dgm:t>
    </dgm:pt>
    <dgm:pt modelId="{E53B5C3F-321D-4077-92F2-628C0951BDD8}" type="sibTrans" cxnId="{F94758F4-E59A-468E-A2FD-B725FE495672}">
      <dgm:prSet/>
      <dgm:spPr/>
      <dgm:t>
        <a:bodyPr/>
        <a:lstStyle/>
        <a:p>
          <a:endParaRPr lang="fr-FR"/>
        </a:p>
      </dgm:t>
    </dgm:pt>
    <dgm:pt modelId="{A23D58FF-31CC-44D8-B1FE-7955960FB969}" type="pres">
      <dgm:prSet presAssocID="{93B12CCA-E787-4286-803D-8D1C66F9271A}" presName="Name0" presStyleCnt="0">
        <dgm:presLayoutVars>
          <dgm:chMax/>
          <dgm:chPref val="3"/>
          <dgm:dir/>
          <dgm:animOne val="branch"/>
          <dgm:animLvl val="lvl"/>
        </dgm:presLayoutVars>
      </dgm:prSet>
      <dgm:spPr/>
      <dgm:t>
        <a:bodyPr/>
        <a:lstStyle/>
        <a:p>
          <a:endParaRPr lang="fr-FR"/>
        </a:p>
      </dgm:t>
    </dgm:pt>
    <dgm:pt modelId="{18E556ED-9B1F-4D8A-98F4-2C131B8BABEC}" type="pres">
      <dgm:prSet presAssocID="{DB0DDD43-3E42-41DD-B160-816BEB4531E5}" presName="composite" presStyleCnt="0"/>
      <dgm:spPr/>
      <dgm:t>
        <a:bodyPr/>
        <a:lstStyle/>
        <a:p>
          <a:endParaRPr lang="fr-FR"/>
        </a:p>
      </dgm:t>
    </dgm:pt>
    <dgm:pt modelId="{3367E8FF-BBEC-44ED-9B45-50233ED21F38}" type="pres">
      <dgm:prSet presAssocID="{DB0DDD43-3E42-41DD-B160-816BEB4531E5}" presName="FirstChild" presStyleLbl="revTx" presStyleIdx="0" presStyleCnt="2" custScaleX="110503" custScaleY="115857" custLinFactNeighborX="-7398" custLinFactNeighborY="-146">
        <dgm:presLayoutVars>
          <dgm:chMax val="0"/>
          <dgm:chPref val="0"/>
          <dgm:bulletEnabled val="1"/>
        </dgm:presLayoutVars>
      </dgm:prSet>
      <dgm:spPr>
        <a:prstGeom prst="rect">
          <a:avLst/>
        </a:prstGeom>
      </dgm:spPr>
      <dgm:t>
        <a:bodyPr/>
        <a:lstStyle/>
        <a:p>
          <a:endParaRPr lang="fr-FR"/>
        </a:p>
      </dgm:t>
    </dgm:pt>
    <dgm:pt modelId="{247F3F79-6E25-4CA9-8B0E-FAEB3C894FC7}" type="pres">
      <dgm:prSet presAssocID="{DB0DDD43-3E42-41DD-B160-816BEB4531E5}" presName="Parent" presStyleLbl="alignNode1" presStyleIdx="0" presStyleCnt="1" custScaleX="44490" custLinFactNeighborX="-19088" custLinFactNeighborY="-146">
        <dgm:presLayoutVars>
          <dgm:chMax val="3"/>
          <dgm:chPref val="3"/>
          <dgm:bulletEnabled val="1"/>
        </dgm:presLayoutVars>
      </dgm:prSet>
      <dgm:spPr>
        <a:prstGeom prst="round2SameRect">
          <a:avLst>
            <a:gd name="adj1" fmla="val 16670"/>
            <a:gd name="adj2" fmla="val 0"/>
          </a:avLst>
        </a:prstGeom>
      </dgm:spPr>
      <dgm:t>
        <a:bodyPr/>
        <a:lstStyle/>
        <a:p>
          <a:endParaRPr lang="fr-FR"/>
        </a:p>
      </dgm:t>
    </dgm:pt>
    <dgm:pt modelId="{04B4ABB5-84D6-4E97-93D7-6618614B7D2F}" type="pres">
      <dgm:prSet presAssocID="{DB0DDD43-3E42-41DD-B160-816BEB4531E5}" presName="Accent" presStyleLbl="parChTrans1D1" presStyleIdx="0" presStyleCnt="1"/>
      <dgm:spPr>
        <a:xfrm>
          <a:off x="-118437" y="358914"/>
          <a:ext cx="6096000" cy="0"/>
        </a:xfrm>
        <a:prstGeom prst="line">
          <a:avLst/>
        </a:prstGeom>
        <a:noFill/>
        <a:ln w="25400" cap="flat" cmpd="sng" algn="ctr">
          <a:solidFill>
            <a:srgbClr val="9BBB59">
              <a:shade val="60000"/>
              <a:hueOff val="0"/>
              <a:satOff val="0"/>
              <a:lumOff val="0"/>
              <a:alphaOff val="0"/>
            </a:srgbClr>
          </a:solidFill>
          <a:prstDash val="solid"/>
        </a:ln>
        <a:effectLst/>
      </dgm:spPr>
      <dgm:t>
        <a:bodyPr/>
        <a:lstStyle/>
        <a:p>
          <a:endParaRPr lang="fr-FR"/>
        </a:p>
      </dgm:t>
    </dgm:pt>
    <dgm:pt modelId="{E8AB1E02-C604-4BCD-B4C7-395E4A57BD61}" type="pres">
      <dgm:prSet presAssocID="{DB0DDD43-3E42-41DD-B160-816BEB4531E5}" presName="Child" presStyleLbl="revTx" presStyleIdx="1" presStyleCnt="2" custScaleX="98887" custLinFactNeighborX="557" custLinFactNeighborY="147">
        <dgm:presLayoutVars>
          <dgm:chMax val="0"/>
          <dgm:chPref val="0"/>
          <dgm:bulletEnabled val="1"/>
        </dgm:presLayoutVars>
      </dgm:prSet>
      <dgm:spPr>
        <a:prstGeom prst="rect">
          <a:avLst/>
        </a:prstGeom>
      </dgm:spPr>
      <dgm:t>
        <a:bodyPr/>
        <a:lstStyle/>
        <a:p>
          <a:endParaRPr lang="fr-FR"/>
        </a:p>
      </dgm:t>
    </dgm:pt>
  </dgm:ptLst>
  <dgm:cxnLst>
    <dgm:cxn modelId="{1840090F-FCD6-44D9-B5D8-18C650DED1D4}" srcId="{DB0DDD43-3E42-41DD-B160-816BEB4531E5}" destId="{F8435DD9-7E46-409A-ADED-3F8BD61CA0E2}" srcOrd="0" destOrd="0" parTransId="{93A07A27-6C53-401E-A3F2-525C626F1483}" sibTransId="{F2859BC6-84DB-4A77-8D26-EF96EC4285F4}"/>
    <dgm:cxn modelId="{AF0D4245-8210-49DD-9C17-9F90026A91B0}" srcId="{93B12CCA-E787-4286-803D-8D1C66F9271A}" destId="{DB0DDD43-3E42-41DD-B160-816BEB4531E5}" srcOrd="0" destOrd="0" parTransId="{36EEAA6D-E1E3-438A-A1BA-DBEF38459F4B}" sibTransId="{CFFF2C85-6A86-4D98-AC1F-4A15CF5FBD43}"/>
    <dgm:cxn modelId="{F94758F4-E59A-468E-A2FD-B725FE495672}" srcId="{DB0DDD43-3E42-41DD-B160-816BEB4531E5}" destId="{C4A48B8C-7FCC-483E-9E88-41A60A13A77B}" srcOrd="2" destOrd="0" parTransId="{ED4210D3-EC5E-4B7E-A7F0-B179BEB22CBA}" sibTransId="{E53B5C3F-321D-4077-92F2-628C0951BDD8}"/>
    <dgm:cxn modelId="{BDC31C4F-0DF7-4764-BE28-D84CA76773AD}" type="presOf" srcId="{93B12CCA-E787-4286-803D-8D1C66F9271A}" destId="{A23D58FF-31CC-44D8-B1FE-7955960FB969}" srcOrd="0" destOrd="0" presId="urn:microsoft.com/office/officeart/2011/layout/TabList"/>
    <dgm:cxn modelId="{37A31A9B-F3C5-41F1-AC7B-744F48B506C0}" type="presOf" srcId="{F8435DD9-7E46-409A-ADED-3F8BD61CA0E2}" destId="{3367E8FF-BBEC-44ED-9B45-50233ED21F38}" srcOrd="0" destOrd="0" presId="urn:microsoft.com/office/officeart/2011/layout/TabList"/>
    <dgm:cxn modelId="{9405604D-0085-4BC3-907F-59AFE46DCFE8}" type="presOf" srcId="{DB0DDD43-3E42-41DD-B160-816BEB4531E5}" destId="{247F3F79-6E25-4CA9-8B0E-FAEB3C894FC7}" srcOrd="0" destOrd="0" presId="urn:microsoft.com/office/officeart/2011/layout/TabList"/>
    <dgm:cxn modelId="{94681A2C-AA3D-4A4C-97BB-8ACE1EFB3989}" type="presOf" srcId="{BD38DCE7-F8F9-4F18-8F40-899D9A44141E}" destId="{E8AB1E02-C604-4BCD-B4C7-395E4A57BD61}" srcOrd="0" destOrd="0" presId="urn:microsoft.com/office/officeart/2011/layout/TabList"/>
    <dgm:cxn modelId="{A206468E-26A4-4879-B1D7-72C75F23A456}" srcId="{DB0DDD43-3E42-41DD-B160-816BEB4531E5}" destId="{BD38DCE7-F8F9-4F18-8F40-899D9A44141E}" srcOrd="1" destOrd="0" parTransId="{44B7EF97-6BB1-4945-A109-73827DE88747}" sibTransId="{E15AF197-06F6-4A6D-92FD-57C442D8B56D}"/>
    <dgm:cxn modelId="{1C9BE1FC-C2F2-4821-B6D0-7A9973AFECB8}" type="presOf" srcId="{C4A48B8C-7FCC-483E-9E88-41A60A13A77B}" destId="{E8AB1E02-C604-4BCD-B4C7-395E4A57BD61}" srcOrd="0" destOrd="1" presId="urn:microsoft.com/office/officeart/2011/layout/TabList"/>
    <dgm:cxn modelId="{E884A090-9A91-4561-B96F-9BFFD4D23697}" type="presParOf" srcId="{A23D58FF-31CC-44D8-B1FE-7955960FB969}" destId="{18E556ED-9B1F-4D8A-98F4-2C131B8BABEC}" srcOrd="0" destOrd="0" presId="urn:microsoft.com/office/officeart/2011/layout/TabList"/>
    <dgm:cxn modelId="{6BF84559-E9EE-4D72-AB61-C3563D9BB863}" type="presParOf" srcId="{18E556ED-9B1F-4D8A-98F4-2C131B8BABEC}" destId="{3367E8FF-BBEC-44ED-9B45-50233ED21F38}" srcOrd="0" destOrd="0" presId="urn:microsoft.com/office/officeart/2011/layout/TabList"/>
    <dgm:cxn modelId="{B65B6771-BB3E-4BCB-ADED-A9918CB1F9DF}" type="presParOf" srcId="{18E556ED-9B1F-4D8A-98F4-2C131B8BABEC}" destId="{247F3F79-6E25-4CA9-8B0E-FAEB3C894FC7}" srcOrd="1" destOrd="0" presId="urn:microsoft.com/office/officeart/2011/layout/TabList"/>
    <dgm:cxn modelId="{43E3E29E-B9E2-4660-833C-6F10E577E39C}" type="presParOf" srcId="{18E556ED-9B1F-4D8A-98F4-2C131B8BABEC}" destId="{04B4ABB5-84D6-4E97-93D7-6618614B7D2F}" srcOrd="2" destOrd="0" presId="urn:microsoft.com/office/officeart/2011/layout/TabList"/>
    <dgm:cxn modelId="{563CA00E-33EE-4748-99E5-BF6F20EB19C1}" type="presParOf" srcId="{A23D58FF-31CC-44D8-B1FE-7955960FB969}" destId="{E8AB1E02-C604-4BCD-B4C7-395E4A57BD61}" srcOrd="1" destOrd="0" presId="urn:microsoft.com/office/officeart/2011/layout/TabList"/>
  </dgm:cxnLst>
  <dgm:bg/>
  <dgm:whole/>
  <dgm:extLst>
    <a:ext uri="http://schemas.microsoft.com/office/drawing/2008/diagram">
      <dsp:dataModelExt xmlns:dsp="http://schemas.microsoft.com/office/drawing/2008/diagram" xmlns="" relId="rId57"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93B12CCA-E787-4286-803D-8D1C66F9271A}" type="doc">
      <dgm:prSet loTypeId="urn:microsoft.com/office/officeart/2011/layout/TabList" loCatId="officeonline" qsTypeId="urn:microsoft.com/office/officeart/2005/8/quickstyle/simple1#9" qsCatId="simple" csTypeId="urn:microsoft.com/office/officeart/2005/8/colors/accent3_2" csCatId="accent3" phldr="1"/>
      <dgm:spPr/>
      <dgm:t>
        <a:bodyPr/>
        <a:lstStyle/>
        <a:p>
          <a:endParaRPr lang="fr-FR"/>
        </a:p>
      </dgm:t>
    </dgm:pt>
    <dgm:pt modelId="{DB0DDD43-3E42-41DD-B160-816BEB4531E5}">
      <dgm:prSet phldrT="[Texte]"/>
      <dgm:spPr>
        <a:xfrm>
          <a:off x="0" y="496"/>
          <a:ext cx="661317" cy="338677"/>
        </a:xfrm>
        <a:solidFill>
          <a:srgbClr val="9BBB59">
            <a:hueOff val="0"/>
            <a:satOff val="0"/>
            <a:lumOff val="0"/>
            <a:alphaOff val="0"/>
          </a:srgbClr>
        </a:solidFill>
        <a:ln w="25400" cap="flat" cmpd="sng" algn="ctr">
          <a:solidFill>
            <a:srgbClr val="9BBB59">
              <a:hueOff val="0"/>
              <a:satOff val="0"/>
              <a:lumOff val="0"/>
              <a:alphaOff val="0"/>
            </a:srgbClr>
          </a:solidFill>
          <a:prstDash val="solid"/>
        </a:ln>
        <a:effectLst/>
      </dgm:spPr>
      <dgm:t>
        <a:bodyPr/>
        <a:lstStyle/>
        <a:p>
          <a:endParaRPr lang="fr-FR">
            <a:solidFill>
              <a:sysClr val="window" lastClr="FFFFFF"/>
            </a:solidFill>
            <a:latin typeface="Calibri"/>
            <a:ea typeface="+mn-ea"/>
            <a:cs typeface="+mn-cs"/>
          </a:endParaRPr>
        </a:p>
      </dgm:t>
    </dgm:pt>
    <dgm:pt modelId="{36EEAA6D-E1E3-438A-A1BA-DBEF38459F4B}" type="parTrans" cxnId="{AF0D4245-8210-49DD-9C17-9F90026A91B0}">
      <dgm:prSet/>
      <dgm:spPr/>
      <dgm:t>
        <a:bodyPr/>
        <a:lstStyle/>
        <a:p>
          <a:endParaRPr lang="fr-FR"/>
        </a:p>
      </dgm:t>
    </dgm:pt>
    <dgm:pt modelId="{CFFF2C85-6A86-4D98-AC1F-4A15CF5FBD43}" type="sibTrans" cxnId="{AF0D4245-8210-49DD-9C17-9F90026A91B0}">
      <dgm:prSet/>
      <dgm:spPr/>
      <dgm:t>
        <a:bodyPr/>
        <a:lstStyle/>
        <a:p>
          <a:endParaRPr lang="fr-FR"/>
        </a:p>
      </dgm:t>
    </dgm:pt>
    <dgm:pt modelId="{F8435DD9-7E46-409A-ADED-3F8BD61CA0E2}">
      <dgm:prSet phldrT="[Texte]"/>
      <dgm:spPr>
        <a:xfrm>
          <a:off x="846645" y="2"/>
          <a:ext cx="4710626" cy="338677"/>
        </a:xfrm>
        <a:noFill/>
        <a:ln>
          <a:noFill/>
        </a:ln>
        <a:effectLst/>
      </dgm:spPr>
      <dgm:t>
        <a:bodyPr/>
        <a:lstStyle/>
        <a:p>
          <a:r>
            <a:rPr lang="fr-FR">
              <a:solidFill>
                <a:sysClr val="windowText" lastClr="000000">
                  <a:hueOff val="0"/>
                  <a:satOff val="0"/>
                  <a:lumOff val="0"/>
                  <a:alphaOff val="0"/>
                </a:sysClr>
              </a:solidFill>
              <a:latin typeface="Calibri"/>
              <a:ea typeface="+mn-ea"/>
              <a:cs typeface="+mn-cs"/>
            </a:rPr>
            <a:t>Les contrats de travail mobilisés en 2012 </a:t>
          </a:r>
        </a:p>
      </dgm:t>
    </dgm:pt>
    <dgm:pt modelId="{93A07A27-6C53-401E-A3F2-525C626F1483}" type="parTrans" cxnId="{1840090F-FCD6-44D9-B5D8-18C650DED1D4}">
      <dgm:prSet/>
      <dgm:spPr/>
      <dgm:t>
        <a:bodyPr/>
        <a:lstStyle/>
        <a:p>
          <a:endParaRPr lang="fr-FR"/>
        </a:p>
      </dgm:t>
    </dgm:pt>
    <dgm:pt modelId="{F2859BC6-84DB-4A77-8D26-EF96EC4285F4}" type="sibTrans" cxnId="{1840090F-FCD6-44D9-B5D8-18C650DED1D4}">
      <dgm:prSet/>
      <dgm:spPr/>
      <dgm:t>
        <a:bodyPr/>
        <a:lstStyle/>
        <a:p>
          <a:endParaRPr lang="fr-FR"/>
        </a:p>
      </dgm:t>
    </dgm:pt>
    <dgm:pt modelId="{BD38DCE7-F8F9-4F18-8F40-899D9A44141E}">
      <dgm:prSet phldrT="[Texte]"/>
      <dgm:spPr>
        <a:xfrm>
          <a:off x="0" y="339174"/>
          <a:ext cx="5760720" cy="677456"/>
        </a:xfrm>
        <a:noFill/>
        <a:ln>
          <a:noFill/>
        </a:ln>
        <a:effectLst/>
      </dgm:spPr>
      <dgm:t>
        <a:bodyPr/>
        <a:lstStyle/>
        <a:p>
          <a:endParaRPr lang="fr-FR" sz="1600">
            <a:solidFill>
              <a:sysClr val="windowText" lastClr="000000">
                <a:hueOff val="0"/>
                <a:satOff val="0"/>
                <a:lumOff val="0"/>
                <a:alphaOff val="0"/>
              </a:sysClr>
            </a:solidFill>
            <a:latin typeface="Calibri"/>
            <a:ea typeface="+mn-ea"/>
            <a:cs typeface="+mn-cs"/>
          </a:endParaRPr>
        </a:p>
      </dgm:t>
    </dgm:pt>
    <dgm:pt modelId="{44B7EF97-6BB1-4945-A109-73827DE88747}" type="parTrans" cxnId="{A206468E-26A4-4879-B1D7-72C75F23A456}">
      <dgm:prSet/>
      <dgm:spPr/>
      <dgm:t>
        <a:bodyPr/>
        <a:lstStyle/>
        <a:p>
          <a:endParaRPr lang="fr-FR"/>
        </a:p>
      </dgm:t>
    </dgm:pt>
    <dgm:pt modelId="{E15AF197-06F6-4A6D-92FD-57C442D8B56D}" type="sibTrans" cxnId="{A206468E-26A4-4879-B1D7-72C75F23A456}">
      <dgm:prSet/>
      <dgm:spPr/>
      <dgm:t>
        <a:bodyPr/>
        <a:lstStyle/>
        <a:p>
          <a:endParaRPr lang="fr-FR"/>
        </a:p>
      </dgm:t>
    </dgm:pt>
    <dgm:pt modelId="{C4A48B8C-7FCC-483E-9E88-41A60A13A77B}">
      <dgm:prSet phldrT="[Texte]" custT="1"/>
      <dgm:spPr>
        <a:xfrm>
          <a:off x="0" y="339174"/>
          <a:ext cx="5760720" cy="677456"/>
        </a:xfrm>
        <a:noFill/>
        <a:ln>
          <a:noFill/>
        </a:ln>
        <a:effectLst/>
      </dgm:spPr>
      <dgm:t>
        <a:bodyPr/>
        <a:lstStyle/>
        <a:p>
          <a:r>
            <a:rPr lang="fr-FR" sz="1800">
              <a:solidFill>
                <a:srgbClr val="9BBB59">
                  <a:lumMod val="50000"/>
                </a:srgbClr>
              </a:solidFill>
              <a:latin typeface="Calibri"/>
              <a:ea typeface="+mn-ea"/>
              <a:cs typeface="+mn-cs"/>
            </a:rPr>
            <a:t>Les nature des contrats de travail  </a:t>
          </a:r>
        </a:p>
      </dgm:t>
    </dgm:pt>
    <dgm:pt modelId="{ED4210D3-EC5E-4B7E-A7F0-B179BEB22CBA}" type="parTrans" cxnId="{F94758F4-E59A-468E-A2FD-B725FE495672}">
      <dgm:prSet/>
      <dgm:spPr/>
      <dgm:t>
        <a:bodyPr/>
        <a:lstStyle/>
        <a:p>
          <a:endParaRPr lang="fr-FR"/>
        </a:p>
      </dgm:t>
    </dgm:pt>
    <dgm:pt modelId="{E53B5C3F-321D-4077-92F2-628C0951BDD8}" type="sibTrans" cxnId="{F94758F4-E59A-468E-A2FD-B725FE495672}">
      <dgm:prSet/>
      <dgm:spPr/>
      <dgm:t>
        <a:bodyPr/>
        <a:lstStyle/>
        <a:p>
          <a:endParaRPr lang="fr-FR"/>
        </a:p>
      </dgm:t>
    </dgm:pt>
    <dgm:pt modelId="{A23D58FF-31CC-44D8-B1FE-7955960FB969}" type="pres">
      <dgm:prSet presAssocID="{93B12CCA-E787-4286-803D-8D1C66F9271A}" presName="Name0" presStyleCnt="0">
        <dgm:presLayoutVars>
          <dgm:chMax/>
          <dgm:chPref val="3"/>
          <dgm:dir/>
          <dgm:animOne val="branch"/>
          <dgm:animLvl val="lvl"/>
        </dgm:presLayoutVars>
      </dgm:prSet>
      <dgm:spPr/>
      <dgm:t>
        <a:bodyPr/>
        <a:lstStyle/>
        <a:p>
          <a:endParaRPr lang="fr-FR"/>
        </a:p>
      </dgm:t>
    </dgm:pt>
    <dgm:pt modelId="{18E556ED-9B1F-4D8A-98F4-2C131B8BABEC}" type="pres">
      <dgm:prSet presAssocID="{DB0DDD43-3E42-41DD-B160-816BEB4531E5}" presName="composite" presStyleCnt="0"/>
      <dgm:spPr/>
    </dgm:pt>
    <dgm:pt modelId="{3367E8FF-BBEC-44ED-9B45-50233ED21F38}" type="pres">
      <dgm:prSet presAssocID="{DB0DDD43-3E42-41DD-B160-816BEB4531E5}" presName="FirstChild" presStyleLbl="revTx" presStyleIdx="0" presStyleCnt="2" custScaleX="110502" custLinFactNeighborX="-7621" custLinFactNeighborY="-2123">
        <dgm:presLayoutVars>
          <dgm:chMax val="0"/>
          <dgm:chPref val="0"/>
          <dgm:bulletEnabled val="1"/>
        </dgm:presLayoutVars>
      </dgm:prSet>
      <dgm:spPr>
        <a:prstGeom prst="rect">
          <a:avLst/>
        </a:prstGeom>
      </dgm:spPr>
      <dgm:t>
        <a:bodyPr/>
        <a:lstStyle/>
        <a:p>
          <a:endParaRPr lang="fr-FR"/>
        </a:p>
      </dgm:t>
    </dgm:pt>
    <dgm:pt modelId="{247F3F79-6E25-4CA9-8B0E-FAEB3C894FC7}" type="pres">
      <dgm:prSet presAssocID="{DB0DDD43-3E42-41DD-B160-816BEB4531E5}" presName="Parent" presStyleLbl="alignNode1" presStyleIdx="0" presStyleCnt="1" custScaleX="46120" custLinFactNeighborX="-27923">
        <dgm:presLayoutVars>
          <dgm:chMax val="3"/>
          <dgm:chPref val="3"/>
          <dgm:bulletEnabled val="1"/>
        </dgm:presLayoutVars>
      </dgm:prSet>
      <dgm:spPr>
        <a:prstGeom prst="round2SameRect">
          <a:avLst>
            <a:gd name="adj1" fmla="val 16670"/>
            <a:gd name="adj2" fmla="val 0"/>
          </a:avLst>
        </a:prstGeom>
      </dgm:spPr>
      <dgm:t>
        <a:bodyPr/>
        <a:lstStyle/>
        <a:p>
          <a:endParaRPr lang="fr-FR"/>
        </a:p>
      </dgm:t>
    </dgm:pt>
    <dgm:pt modelId="{04B4ABB5-84D6-4E97-93D7-6618614B7D2F}" type="pres">
      <dgm:prSet presAssocID="{DB0DDD43-3E42-41DD-B160-816BEB4531E5}" presName="Accent" presStyleLbl="parChTrans1D1" presStyleIdx="0" presStyleCnt="1" custLinFactNeighborX="1777"/>
      <dgm:spPr>
        <a:xfrm>
          <a:off x="-111923" y="339174"/>
          <a:ext cx="5760720" cy="0"/>
        </a:xfrm>
        <a:prstGeom prst="line">
          <a:avLst/>
        </a:prstGeom>
        <a:noFill/>
        <a:ln w="25400" cap="flat" cmpd="sng" algn="ctr">
          <a:solidFill>
            <a:srgbClr val="9BBB59">
              <a:shade val="60000"/>
              <a:hueOff val="0"/>
              <a:satOff val="0"/>
              <a:lumOff val="0"/>
              <a:alphaOff val="0"/>
            </a:srgbClr>
          </a:solidFill>
          <a:prstDash val="solid"/>
        </a:ln>
        <a:effectLst/>
      </dgm:spPr>
      <dgm:t>
        <a:bodyPr/>
        <a:lstStyle/>
        <a:p>
          <a:endParaRPr lang="fr-FR"/>
        </a:p>
      </dgm:t>
    </dgm:pt>
    <dgm:pt modelId="{E8AB1E02-C604-4BCD-B4C7-395E4A57BD61}" type="pres">
      <dgm:prSet presAssocID="{DB0DDD43-3E42-41DD-B160-816BEB4531E5}" presName="Child" presStyleLbl="revTx" presStyleIdx="1" presStyleCnt="2" custScaleY="67919" custLinFactNeighborY="33912">
        <dgm:presLayoutVars>
          <dgm:chMax val="0"/>
          <dgm:chPref val="0"/>
          <dgm:bulletEnabled val="1"/>
        </dgm:presLayoutVars>
      </dgm:prSet>
      <dgm:spPr>
        <a:prstGeom prst="rect">
          <a:avLst/>
        </a:prstGeom>
      </dgm:spPr>
      <dgm:t>
        <a:bodyPr/>
        <a:lstStyle/>
        <a:p>
          <a:endParaRPr lang="fr-FR"/>
        </a:p>
      </dgm:t>
    </dgm:pt>
  </dgm:ptLst>
  <dgm:cxnLst>
    <dgm:cxn modelId="{1840090F-FCD6-44D9-B5D8-18C650DED1D4}" srcId="{DB0DDD43-3E42-41DD-B160-816BEB4531E5}" destId="{F8435DD9-7E46-409A-ADED-3F8BD61CA0E2}" srcOrd="0" destOrd="0" parTransId="{93A07A27-6C53-401E-A3F2-525C626F1483}" sibTransId="{F2859BC6-84DB-4A77-8D26-EF96EC4285F4}"/>
    <dgm:cxn modelId="{AF0D4245-8210-49DD-9C17-9F90026A91B0}" srcId="{93B12CCA-E787-4286-803D-8D1C66F9271A}" destId="{DB0DDD43-3E42-41DD-B160-816BEB4531E5}" srcOrd="0" destOrd="0" parTransId="{36EEAA6D-E1E3-438A-A1BA-DBEF38459F4B}" sibTransId="{CFFF2C85-6A86-4D98-AC1F-4A15CF5FBD43}"/>
    <dgm:cxn modelId="{F94758F4-E59A-468E-A2FD-B725FE495672}" srcId="{DB0DDD43-3E42-41DD-B160-816BEB4531E5}" destId="{C4A48B8C-7FCC-483E-9E88-41A60A13A77B}" srcOrd="2" destOrd="0" parTransId="{ED4210D3-EC5E-4B7E-A7F0-B179BEB22CBA}" sibTransId="{E53B5C3F-321D-4077-92F2-628C0951BDD8}"/>
    <dgm:cxn modelId="{5FC0A015-5857-49DB-B435-96827B0611D5}" type="presOf" srcId="{DB0DDD43-3E42-41DD-B160-816BEB4531E5}" destId="{247F3F79-6E25-4CA9-8B0E-FAEB3C894FC7}" srcOrd="0" destOrd="0" presId="urn:microsoft.com/office/officeart/2011/layout/TabList"/>
    <dgm:cxn modelId="{FF500E5D-0FCA-4177-A2D5-99E9B9979B9C}" type="presOf" srcId="{BD38DCE7-F8F9-4F18-8F40-899D9A44141E}" destId="{E8AB1E02-C604-4BCD-B4C7-395E4A57BD61}" srcOrd="0" destOrd="0" presId="urn:microsoft.com/office/officeart/2011/layout/TabList"/>
    <dgm:cxn modelId="{FC0FC8B4-C002-4B82-9278-4CB76535E45C}" type="presOf" srcId="{93B12CCA-E787-4286-803D-8D1C66F9271A}" destId="{A23D58FF-31CC-44D8-B1FE-7955960FB969}" srcOrd="0" destOrd="0" presId="urn:microsoft.com/office/officeart/2011/layout/TabList"/>
    <dgm:cxn modelId="{0F771021-7CA1-491C-99A9-226A18D58976}" type="presOf" srcId="{C4A48B8C-7FCC-483E-9E88-41A60A13A77B}" destId="{E8AB1E02-C604-4BCD-B4C7-395E4A57BD61}" srcOrd="0" destOrd="1" presId="urn:microsoft.com/office/officeart/2011/layout/TabList"/>
    <dgm:cxn modelId="{A206468E-26A4-4879-B1D7-72C75F23A456}" srcId="{DB0DDD43-3E42-41DD-B160-816BEB4531E5}" destId="{BD38DCE7-F8F9-4F18-8F40-899D9A44141E}" srcOrd="1" destOrd="0" parTransId="{44B7EF97-6BB1-4945-A109-73827DE88747}" sibTransId="{E15AF197-06F6-4A6D-92FD-57C442D8B56D}"/>
    <dgm:cxn modelId="{8E5378D0-8D00-46B6-A56A-E588A91AE5DE}" type="presOf" srcId="{F8435DD9-7E46-409A-ADED-3F8BD61CA0E2}" destId="{3367E8FF-BBEC-44ED-9B45-50233ED21F38}" srcOrd="0" destOrd="0" presId="urn:microsoft.com/office/officeart/2011/layout/TabList"/>
    <dgm:cxn modelId="{EEB2D869-7E69-488C-B9D6-80CBF987422D}" type="presParOf" srcId="{A23D58FF-31CC-44D8-B1FE-7955960FB969}" destId="{18E556ED-9B1F-4D8A-98F4-2C131B8BABEC}" srcOrd="0" destOrd="0" presId="urn:microsoft.com/office/officeart/2011/layout/TabList"/>
    <dgm:cxn modelId="{94E5265E-B6EE-4BD6-AB98-13AD0F35022A}" type="presParOf" srcId="{18E556ED-9B1F-4D8A-98F4-2C131B8BABEC}" destId="{3367E8FF-BBEC-44ED-9B45-50233ED21F38}" srcOrd="0" destOrd="0" presId="urn:microsoft.com/office/officeart/2011/layout/TabList"/>
    <dgm:cxn modelId="{677B51AA-AB73-48A0-92A3-05AC4F435EE6}" type="presParOf" srcId="{18E556ED-9B1F-4D8A-98F4-2C131B8BABEC}" destId="{247F3F79-6E25-4CA9-8B0E-FAEB3C894FC7}" srcOrd="1" destOrd="0" presId="urn:microsoft.com/office/officeart/2011/layout/TabList"/>
    <dgm:cxn modelId="{BF625E81-E706-4AC1-8AED-61BEE6C08CC4}" type="presParOf" srcId="{18E556ED-9B1F-4D8A-98F4-2C131B8BABEC}" destId="{04B4ABB5-84D6-4E97-93D7-6618614B7D2F}" srcOrd="2" destOrd="0" presId="urn:microsoft.com/office/officeart/2011/layout/TabList"/>
    <dgm:cxn modelId="{BEC52987-6458-4CB9-A674-91444943563F}" type="presParOf" srcId="{A23D58FF-31CC-44D8-B1FE-7955960FB969}" destId="{E8AB1E02-C604-4BCD-B4C7-395E4A57BD61}" srcOrd="1" destOrd="0" presId="urn:microsoft.com/office/officeart/2011/layout/TabList"/>
  </dgm:cxnLst>
  <dgm:bg/>
  <dgm:whole/>
  <dgm:extLst>
    <a:ext uri="http://schemas.microsoft.com/office/drawing/2008/diagram">
      <dsp:dataModelExt xmlns:dsp="http://schemas.microsoft.com/office/drawing/2008/diagram" xmlns="" relId="rId6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Tree>
</dsp:drawing>
</file>

<file path=word/diagrams/drawing1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Tree>
</dsp:drawing>
</file>

<file path=word/diagrams/drawing1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Tree>
</dsp:drawing>
</file>

<file path=word/diagrams/drawing1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Tree>
</dsp:drawing>
</file>

<file path=word/diagrams/drawing1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Tree>
</dsp:drawing>
</file>

<file path=word/diagrams/drawing1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Tree>
</dsp:drawing>
</file>

<file path=word/diagrams/drawing1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Tree>
</dsp:drawing>
</file>

<file path=word/diagrams/drawing1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Tree>
</dsp:drawing>
</file>

<file path=word/diagrams/drawing1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Tree>
</dsp:drawing>
</file>

<file path=word/diagrams/drawing1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Tree>
</dsp:drawing>
</file>

<file path=word/diagrams/drawing1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Tree>
</dsp:drawing>
</file>

<file path=word/diagrams/drawing2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4B4ABB5-84D6-4E97-93D7-6618614B7D2F}">
      <dsp:nvSpPr>
        <dsp:cNvPr id="0" name=""/>
        <dsp:cNvSpPr/>
      </dsp:nvSpPr>
      <dsp:spPr>
        <a:xfrm>
          <a:off x="0" y="351606"/>
          <a:ext cx="5754129" cy="0"/>
        </a:xfrm>
        <a:prstGeom prst="line">
          <a:avLst/>
        </a:prstGeom>
        <a:noFill/>
        <a:ln w="25400" cap="flat" cmpd="sng" algn="ctr">
          <a:solidFill>
            <a:srgbClr val="9BBB59">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367E8FF-BBEC-44ED-9B45-50233ED21F38}">
      <dsp:nvSpPr>
        <dsp:cNvPr id="0" name=""/>
        <dsp:cNvSpPr/>
      </dsp:nvSpPr>
      <dsp:spPr>
        <a:xfrm>
          <a:off x="938310" y="0"/>
          <a:ext cx="4258055" cy="3516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b" anchorCtr="0">
          <a:noAutofit/>
        </a:bodyPr>
        <a:lstStyle/>
        <a:p>
          <a:pPr lvl="0" algn="l" defTabSz="800100">
            <a:lnSpc>
              <a:spcPct val="90000"/>
            </a:lnSpc>
            <a:spcBef>
              <a:spcPct val="0"/>
            </a:spcBef>
            <a:spcAft>
              <a:spcPct val="35000"/>
            </a:spcAft>
          </a:pPr>
          <a:r>
            <a:rPr lang="fr-FR" sz="1800" kern="1200">
              <a:solidFill>
                <a:sysClr val="windowText" lastClr="000000">
                  <a:hueOff val="0"/>
                  <a:satOff val="0"/>
                  <a:lumOff val="0"/>
                  <a:alphaOff val="0"/>
                </a:sysClr>
              </a:solidFill>
              <a:latin typeface="Calibri"/>
              <a:ea typeface="+mn-ea"/>
              <a:cs typeface="+mn-cs"/>
            </a:rPr>
            <a:t>Répartition des heures par donneur d'ordre</a:t>
          </a:r>
        </a:p>
      </dsp:txBody>
      <dsp:txXfrm>
        <a:off x="938310" y="0"/>
        <a:ext cx="4258055" cy="351606"/>
      </dsp:txXfrm>
    </dsp:sp>
    <dsp:sp modelId="{247F3F79-6E25-4CA9-8B0E-FAEB3C894FC7}">
      <dsp:nvSpPr>
        <dsp:cNvPr id="0" name=""/>
        <dsp:cNvSpPr/>
      </dsp:nvSpPr>
      <dsp:spPr>
        <a:xfrm>
          <a:off x="7" y="0"/>
          <a:ext cx="660561" cy="351606"/>
        </a:xfrm>
        <a:prstGeom prst="round2SameRect">
          <a:avLst>
            <a:gd name="adj1" fmla="val 16670"/>
            <a:gd name="adj2" fmla="val 0"/>
          </a:avLst>
        </a:prstGeom>
        <a:solidFill>
          <a:srgbClr val="9BBB59">
            <a:hueOff val="0"/>
            <a:satOff val="0"/>
            <a:lumOff val="0"/>
            <a:alphaOff val="0"/>
          </a:srgbClr>
        </a:solidFill>
        <a:ln w="25400" cap="flat" cmpd="sng" algn="ctr">
          <a:solidFill>
            <a:srgbClr val="9BBB59">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800100">
            <a:lnSpc>
              <a:spcPct val="90000"/>
            </a:lnSpc>
            <a:spcBef>
              <a:spcPct val="0"/>
            </a:spcBef>
            <a:spcAft>
              <a:spcPct val="35000"/>
            </a:spcAft>
          </a:pPr>
          <a:endParaRPr lang="fr-FR" sz="1800" kern="1200">
            <a:solidFill>
              <a:sysClr val="window" lastClr="FFFFFF"/>
            </a:solidFill>
            <a:latin typeface="Calibri"/>
            <a:ea typeface="+mn-ea"/>
            <a:cs typeface="+mn-cs"/>
          </a:endParaRPr>
        </a:p>
      </dsp:txBody>
      <dsp:txXfrm>
        <a:off x="7" y="0"/>
        <a:ext cx="660561" cy="351606"/>
      </dsp:txXfrm>
    </dsp:sp>
    <dsp:sp modelId="{E8AB1E02-C604-4BCD-B4C7-395E4A57BD61}">
      <dsp:nvSpPr>
        <dsp:cNvPr id="0" name=""/>
        <dsp:cNvSpPr/>
      </dsp:nvSpPr>
      <dsp:spPr>
        <a:xfrm>
          <a:off x="0" y="351606"/>
          <a:ext cx="5754129" cy="7033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171450" lvl="1" indent="-171450" algn="l" defTabSz="711200">
            <a:lnSpc>
              <a:spcPct val="90000"/>
            </a:lnSpc>
            <a:spcBef>
              <a:spcPct val="0"/>
            </a:spcBef>
            <a:spcAft>
              <a:spcPct val="15000"/>
            </a:spcAft>
            <a:buChar char="••"/>
          </a:pPr>
          <a:endParaRPr lang="fr-FR" sz="1600" kern="1200">
            <a:solidFill>
              <a:sysClr val="windowText" lastClr="000000">
                <a:hueOff val="0"/>
                <a:satOff val="0"/>
                <a:lumOff val="0"/>
                <a:alphaOff val="0"/>
              </a:sysClr>
            </a:solidFill>
            <a:latin typeface="Calibri"/>
            <a:ea typeface="+mn-ea"/>
            <a:cs typeface="+mn-cs"/>
          </a:endParaRPr>
        </a:p>
        <a:p>
          <a:pPr marL="171450" lvl="1" indent="-171450" algn="l" defTabSz="800100">
            <a:lnSpc>
              <a:spcPct val="90000"/>
            </a:lnSpc>
            <a:spcBef>
              <a:spcPct val="0"/>
            </a:spcBef>
            <a:spcAft>
              <a:spcPct val="15000"/>
            </a:spcAft>
            <a:buChar char="••"/>
          </a:pPr>
          <a:r>
            <a:rPr lang="fr-FR" sz="1800" kern="1200">
              <a:solidFill>
                <a:srgbClr val="9BBB59">
                  <a:lumMod val="50000"/>
                </a:srgbClr>
              </a:solidFill>
              <a:latin typeface="Calibri"/>
              <a:ea typeface="+mn-ea"/>
              <a:cs typeface="+mn-cs"/>
            </a:rPr>
            <a:t>Ventilation des heures réalisées par donneur d'ordre</a:t>
          </a:r>
        </a:p>
      </dsp:txBody>
      <dsp:txXfrm>
        <a:off x="0" y="351606"/>
        <a:ext cx="5754129" cy="703319"/>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4B4ABB5-84D6-4E97-93D7-6618614B7D2F}">
      <dsp:nvSpPr>
        <dsp:cNvPr id="0" name=""/>
        <dsp:cNvSpPr/>
      </dsp:nvSpPr>
      <dsp:spPr>
        <a:xfrm>
          <a:off x="-63049" y="360154"/>
          <a:ext cx="5649960" cy="0"/>
        </a:xfrm>
        <a:prstGeom prst="line">
          <a:avLst/>
        </a:prstGeom>
        <a:noFill/>
        <a:ln w="25400" cap="flat" cmpd="sng" algn="ctr">
          <a:solidFill>
            <a:srgbClr val="9BBB59">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367E8FF-BBEC-44ED-9B45-50233ED21F38}">
      <dsp:nvSpPr>
        <dsp:cNvPr id="0" name=""/>
        <dsp:cNvSpPr/>
      </dsp:nvSpPr>
      <dsp:spPr>
        <a:xfrm>
          <a:off x="732177" y="527"/>
          <a:ext cx="4433166" cy="3596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b" anchorCtr="0">
          <a:noAutofit/>
        </a:bodyPr>
        <a:lstStyle/>
        <a:p>
          <a:pPr lvl="0" algn="l" defTabSz="800100">
            <a:lnSpc>
              <a:spcPct val="90000"/>
            </a:lnSpc>
            <a:spcBef>
              <a:spcPct val="0"/>
            </a:spcBef>
            <a:spcAft>
              <a:spcPct val="35000"/>
            </a:spcAft>
          </a:pPr>
          <a:r>
            <a:rPr lang="fr-FR" sz="1800" kern="1200">
              <a:solidFill>
                <a:sysClr val="windowText" lastClr="000000">
                  <a:hueOff val="0"/>
                  <a:satOff val="0"/>
                  <a:lumOff val="0"/>
                  <a:alphaOff val="0"/>
                </a:sysClr>
              </a:solidFill>
              <a:latin typeface="Calibri"/>
              <a:ea typeface="+mn-ea"/>
              <a:cs typeface="+mn-cs"/>
            </a:rPr>
            <a:t>Ville de Bordeaux et ses établissements publics</a:t>
          </a:r>
        </a:p>
      </dsp:txBody>
      <dsp:txXfrm>
        <a:off x="732177" y="527"/>
        <a:ext cx="4433166" cy="359626"/>
      </dsp:txXfrm>
    </dsp:sp>
    <dsp:sp modelId="{247F3F79-6E25-4CA9-8B0E-FAEB3C894FC7}">
      <dsp:nvSpPr>
        <dsp:cNvPr id="0" name=""/>
        <dsp:cNvSpPr/>
      </dsp:nvSpPr>
      <dsp:spPr>
        <a:xfrm>
          <a:off x="0" y="527"/>
          <a:ext cx="648602" cy="359626"/>
        </a:xfrm>
        <a:prstGeom prst="round2SameRect">
          <a:avLst>
            <a:gd name="adj1" fmla="val 16670"/>
            <a:gd name="adj2" fmla="val 0"/>
          </a:avLst>
        </a:prstGeom>
        <a:solidFill>
          <a:srgbClr val="9BBB59">
            <a:hueOff val="0"/>
            <a:satOff val="0"/>
            <a:lumOff val="0"/>
            <a:alphaOff val="0"/>
          </a:srgbClr>
        </a:solidFill>
        <a:ln w="25400" cap="flat" cmpd="sng" algn="ctr">
          <a:solidFill>
            <a:srgbClr val="9BBB59">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195" tIns="36195" rIns="36195" bIns="36195" numCol="1" spcCol="1270" anchor="ctr" anchorCtr="0">
          <a:noAutofit/>
        </a:bodyPr>
        <a:lstStyle/>
        <a:p>
          <a:pPr lvl="0" algn="ctr" defTabSz="844550">
            <a:lnSpc>
              <a:spcPct val="90000"/>
            </a:lnSpc>
            <a:spcBef>
              <a:spcPct val="0"/>
            </a:spcBef>
            <a:spcAft>
              <a:spcPct val="35000"/>
            </a:spcAft>
          </a:pPr>
          <a:endParaRPr lang="fr-FR" sz="1900" kern="1200">
            <a:solidFill>
              <a:sysClr val="window" lastClr="FFFFFF"/>
            </a:solidFill>
            <a:latin typeface="Calibri"/>
            <a:ea typeface="+mn-ea"/>
            <a:cs typeface="+mn-cs"/>
          </a:endParaRPr>
        </a:p>
      </dsp:txBody>
      <dsp:txXfrm>
        <a:off x="0" y="527"/>
        <a:ext cx="648602" cy="359626"/>
      </dsp:txXfrm>
    </dsp:sp>
    <dsp:sp modelId="{E8AB1E02-C604-4BCD-B4C7-395E4A57BD61}">
      <dsp:nvSpPr>
        <dsp:cNvPr id="0" name=""/>
        <dsp:cNvSpPr/>
      </dsp:nvSpPr>
      <dsp:spPr>
        <a:xfrm>
          <a:off x="0" y="360154"/>
          <a:ext cx="5649960" cy="7193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171450" lvl="1" indent="-171450" algn="l" defTabSz="711200">
            <a:lnSpc>
              <a:spcPct val="90000"/>
            </a:lnSpc>
            <a:spcBef>
              <a:spcPct val="0"/>
            </a:spcBef>
            <a:spcAft>
              <a:spcPct val="15000"/>
            </a:spcAft>
            <a:buChar char="••"/>
          </a:pPr>
          <a:endParaRPr lang="fr-FR" sz="1600" kern="1200">
            <a:solidFill>
              <a:sysClr val="windowText" lastClr="000000">
                <a:hueOff val="0"/>
                <a:satOff val="0"/>
                <a:lumOff val="0"/>
                <a:alphaOff val="0"/>
              </a:sysClr>
            </a:solidFill>
            <a:latin typeface="Calibri"/>
            <a:ea typeface="+mn-ea"/>
            <a:cs typeface="+mn-cs"/>
          </a:endParaRPr>
        </a:p>
        <a:p>
          <a:pPr marL="171450" lvl="1" indent="-171450" algn="l" defTabSz="800100">
            <a:lnSpc>
              <a:spcPct val="90000"/>
            </a:lnSpc>
            <a:spcBef>
              <a:spcPct val="0"/>
            </a:spcBef>
            <a:spcAft>
              <a:spcPct val="15000"/>
            </a:spcAft>
            <a:buChar char="••"/>
          </a:pPr>
          <a:r>
            <a:rPr lang="fr-FR" sz="1800" kern="1200">
              <a:solidFill>
                <a:srgbClr val="9BBB59">
                  <a:lumMod val="50000"/>
                </a:srgbClr>
              </a:solidFill>
              <a:latin typeface="Calibri"/>
              <a:ea typeface="+mn-ea"/>
              <a:cs typeface="+mn-cs"/>
            </a:rPr>
            <a:t>Bilan des heures 2012</a:t>
          </a:r>
        </a:p>
      </dsp:txBody>
      <dsp:txXfrm>
        <a:off x="0" y="360154"/>
        <a:ext cx="5649960" cy="719361"/>
      </dsp:txXfrm>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4B4ABB5-84D6-4E97-93D7-6618614B7D2F}">
      <dsp:nvSpPr>
        <dsp:cNvPr id="0" name=""/>
        <dsp:cNvSpPr/>
      </dsp:nvSpPr>
      <dsp:spPr>
        <a:xfrm>
          <a:off x="-461" y="312593"/>
          <a:ext cx="5868009" cy="0"/>
        </a:xfrm>
        <a:prstGeom prst="line">
          <a:avLst/>
        </a:prstGeom>
        <a:noFill/>
        <a:ln w="25400" cap="flat" cmpd="sng" algn="ctr">
          <a:solidFill>
            <a:srgbClr val="9BBB59">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367E8FF-BBEC-44ED-9B45-50233ED21F38}">
      <dsp:nvSpPr>
        <dsp:cNvPr id="0" name=""/>
        <dsp:cNvSpPr/>
      </dsp:nvSpPr>
      <dsp:spPr>
        <a:xfrm>
          <a:off x="745995" y="0"/>
          <a:ext cx="4798357" cy="3216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6195" tIns="36195" rIns="36195" bIns="36195" numCol="1" spcCol="1270" anchor="b" anchorCtr="0">
          <a:noAutofit/>
        </a:bodyPr>
        <a:lstStyle/>
        <a:p>
          <a:pPr lvl="0" algn="l" defTabSz="844550">
            <a:lnSpc>
              <a:spcPct val="90000"/>
            </a:lnSpc>
            <a:spcBef>
              <a:spcPct val="0"/>
            </a:spcBef>
            <a:spcAft>
              <a:spcPct val="35000"/>
            </a:spcAft>
          </a:pPr>
          <a:r>
            <a:rPr lang="fr-FR" sz="1900" kern="1200">
              <a:solidFill>
                <a:sysClr val="windowText" lastClr="000000">
                  <a:hueOff val="0"/>
                  <a:satOff val="0"/>
                  <a:lumOff val="0"/>
                  <a:alphaOff val="0"/>
                </a:sysClr>
              </a:solidFill>
              <a:latin typeface="Calibri"/>
              <a:ea typeface="+mn-ea"/>
              <a:cs typeface="+mn-cs"/>
            </a:rPr>
            <a:t>Nature des clauses sociales utilisées   </a:t>
          </a:r>
        </a:p>
      </dsp:txBody>
      <dsp:txXfrm>
        <a:off x="745995" y="0"/>
        <a:ext cx="4798357" cy="321646"/>
      </dsp:txXfrm>
    </dsp:sp>
    <dsp:sp modelId="{247F3F79-6E25-4CA9-8B0E-FAEB3C894FC7}">
      <dsp:nvSpPr>
        <dsp:cNvPr id="0" name=""/>
        <dsp:cNvSpPr/>
      </dsp:nvSpPr>
      <dsp:spPr>
        <a:xfrm>
          <a:off x="0" y="2"/>
          <a:ext cx="673634" cy="321646"/>
        </a:xfrm>
        <a:prstGeom prst="round2SameRect">
          <a:avLst>
            <a:gd name="adj1" fmla="val 16670"/>
            <a:gd name="adj2" fmla="val 0"/>
          </a:avLst>
        </a:prstGeom>
        <a:solidFill>
          <a:srgbClr val="9BBB59">
            <a:hueOff val="0"/>
            <a:satOff val="0"/>
            <a:lumOff val="0"/>
            <a:alphaOff val="0"/>
          </a:srgbClr>
        </a:solidFill>
        <a:ln w="25400" cap="flat" cmpd="sng" algn="ctr">
          <a:solidFill>
            <a:srgbClr val="9BBB59">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385" tIns="32385" rIns="32385" bIns="32385" numCol="1" spcCol="1270" anchor="ctr" anchorCtr="0">
          <a:noAutofit/>
        </a:bodyPr>
        <a:lstStyle/>
        <a:p>
          <a:pPr lvl="0" algn="ctr" defTabSz="755650">
            <a:lnSpc>
              <a:spcPct val="90000"/>
            </a:lnSpc>
            <a:spcBef>
              <a:spcPct val="0"/>
            </a:spcBef>
            <a:spcAft>
              <a:spcPct val="35000"/>
            </a:spcAft>
          </a:pPr>
          <a:endParaRPr lang="fr-FR" sz="1700" kern="1200">
            <a:solidFill>
              <a:sysClr val="window" lastClr="FFFFFF"/>
            </a:solidFill>
            <a:latin typeface="Calibri"/>
            <a:ea typeface="+mn-ea"/>
            <a:cs typeface="+mn-cs"/>
          </a:endParaRPr>
        </a:p>
      </dsp:txBody>
      <dsp:txXfrm>
        <a:off x="0" y="2"/>
        <a:ext cx="673634" cy="321646"/>
      </dsp:txXfrm>
    </dsp:sp>
    <dsp:sp modelId="{E8AB1E02-C604-4BCD-B4C7-395E4A57BD61}">
      <dsp:nvSpPr>
        <dsp:cNvPr id="0" name=""/>
        <dsp:cNvSpPr/>
      </dsp:nvSpPr>
      <dsp:spPr>
        <a:xfrm>
          <a:off x="0" y="322589"/>
          <a:ext cx="5868009" cy="6433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marL="171450" lvl="1" indent="-171450" algn="l" defTabSz="711200">
            <a:lnSpc>
              <a:spcPct val="90000"/>
            </a:lnSpc>
            <a:spcBef>
              <a:spcPct val="0"/>
            </a:spcBef>
            <a:spcAft>
              <a:spcPct val="15000"/>
            </a:spcAft>
            <a:buChar char="••"/>
          </a:pPr>
          <a:endParaRPr lang="fr-FR" sz="1600" kern="1200">
            <a:solidFill>
              <a:sysClr val="windowText" lastClr="000000">
                <a:hueOff val="0"/>
                <a:satOff val="0"/>
                <a:lumOff val="0"/>
                <a:alphaOff val="0"/>
              </a:sysClr>
            </a:solidFill>
            <a:latin typeface="Calibri"/>
            <a:ea typeface="+mn-ea"/>
            <a:cs typeface="+mn-cs"/>
          </a:endParaRPr>
        </a:p>
        <a:p>
          <a:pPr marL="171450" lvl="1" indent="-171450" algn="l" defTabSz="800100">
            <a:lnSpc>
              <a:spcPct val="90000"/>
            </a:lnSpc>
            <a:spcBef>
              <a:spcPct val="0"/>
            </a:spcBef>
            <a:spcAft>
              <a:spcPct val="15000"/>
            </a:spcAft>
            <a:buChar char="••"/>
          </a:pPr>
          <a:r>
            <a:rPr lang="fr-FR" sz="1800" kern="1200">
              <a:solidFill>
                <a:srgbClr val="9BBB59">
                  <a:lumMod val="50000"/>
                </a:srgbClr>
              </a:solidFill>
              <a:latin typeface="Calibri"/>
              <a:ea typeface="+mn-ea"/>
              <a:cs typeface="+mn-cs"/>
            </a:rPr>
            <a:t>Répartition des heures par type de marché </a:t>
          </a:r>
        </a:p>
      </dsp:txBody>
      <dsp:txXfrm>
        <a:off x="0" y="322589"/>
        <a:ext cx="5868009" cy="643389"/>
      </dsp:txXfrm>
    </dsp:sp>
  </dsp:spTree>
</dsp:drawing>
</file>

<file path=word/diagrams/drawing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Tree>
</dsp:drawing>
</file>

<file path=word/diagrams/drawing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Tree>
</dsp:drawing>
</file>

<file path=word/diagrams/layout1.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11/layout/TabList">
  <dgm:title val="Liste d’onglets"/>
  <dgm:desc val="Permet de représenter des blocs d’informations non séquentiels ou groupés. Utilisation optimale avec des listes comportant de petites quantités de texte Niveau 1. Le premier Niveau 2 s’affiche en regard du texte Niveau 1 et le reste du texte Niveau 2 apparaît en dessous du texte Niveau 1."/>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txAnchorVert" val="b"/>
                <dgm:param type="txAnchorVertCh" val="b"/>
                <dgm:param type="parTxRTLAlign" val="l"/>
              </dgm:alg>
            </dgm:if>
            <dgm:else name="Name6">
              <dgm:alg type="tx">
                <dgm:param type="parTxLTRAlign" val="r"/>
                <dgm:param type="shpTxLTRAlignCh" val="r"/>
                <dgm:param type="txAnchorVert" val="b"/>
                <dgm:param type="txAnchorVertCh" val="b"/>
                <dgm:param type="parTxRTLAlign" val="r"/>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stBulletLvl" val="1"/>
                  <dgm:param type="parTxLTRAlign" val="l"/>
                  <dgm:param type="parTxRTLAlign" val="l"/>
                  <dgm:param type="txAnchorVert" val="t"/>
                </dgm:alg>
              </dgm:if>
              <dgm:else name="Name14">
                <dgm:alg type="tx">
                  <dgm:param type="stBulletLvl" val="1"/>
                  <dgm:param type="parTxLTRAlign" val="r"/>
                  <dgm:param type="shpTxLTRAlignCh" val="r"/>
                  <dgm:param type="txAnchorVert" val="t"/>
                  <dgm:param type="parTxRTLAlign" val="r"/>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11/layout/TabList">
  <dgm:title val="Liste d’onglets"/>
  <dgm:desc val="Permet de représenter des blocs d’informations non séquentiels ou groupés. Utilisation optimale avec des listes comportant de petites quantités de texte Niveau 1. Le premier Niveau 2 s’affiche en regard du texte Niveau 1 et le reste du texte Niveau 2 apparaît en dessous du texte Niveau 1."/>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txAnchorVert" val="b"/>
                <dgm:param type="txAnchorVertCh" val="b"/>
                <dgm:param type="parTxRTLAlign" val="l"/>
              </dgm:alg>
            </dgm:if>
            <dgm:else name="Name6">
              <dgm:alg type="tx">
                <dgm:param type="parTxLTRAlign" val="r"/>
                <dgm:param type="shpTxLTRAlignCh" val="r"/>
                <dgm:param type="txAnchorVert" val="b"/>
                <dgm:param type="txAnchorVertCh" val="b"/>
                <dgm:param type="parTxRTLAlign" val="r"/>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stBulletLvl" val="1"/>
                  <dgm:param type="parTxLTRAlign" val="l"/>
                  <dgm:param type="parTxRTLAlign" val="l"/>
                  <dgm:param type="txAnchorVert" val="t"/>
                </dgm:alg>
              </dgm:if>
              <dgm:else name="Name14">
                <dgm:alg type="tx">
                  <dgm:param type="stBulletLvl" val="1"/>
                  <dgm:param type="parTxLTRAlign" val="r"/>
                  <dgm:param type="shpTxLTRAlignCh" val="r"/>
                  <dgm:param type="txAnchorVert" val="t"/>
                  <dgm:param type="parTxRTLAlign" val="r"/>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11/layout/TabList">
  <dgm:title val="Liste d’onglets"/>
  <dgm:desc val="Permet de représenter des blocs d’informations non séquentiels ou groupés. Utilisation optimale avec des listes comportant de petites quantités de texte Niveau 1. Le premier Niveau 2 s’affiche en regard du texte Niveau 1 et le reste du texte Niveau 2 apparaît en dessous du texte Niveau 1."/>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txAnchorVert" val="b"/>
                <dgm:param type="txAnchorVertCh" val="b"/>
                <dgm:param type="parTxRTLAlign" val="l"/>
              </dgm:alg>
            </dgm:if>
            <dgm:else name="Name6">
              <dgm:alg type="tx">
                <dgm:param type="parTxLTRAlign" val="r"/>
                <dgm:param type="shpTxLTRAlignCh" val="r"/>
                <dgm:param type="txAnchorVert" val="b"/>
                <dgm:param type="txAnchorVertCh" val="b"/>
                <dgm:param type="parTxRTLAlign" val="r"/>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stBulletLvl" val="1"/>
                  <dgm:param type="parTxLTRAlign" val="l"/>
                  <dgm:param type="parTxRTLAlign" val="l"/>
                  <dgm:param type="txAnchorVert" val="t"/>
                </dgm:alg>
              </dgm:if>
              <dgm:else name="Name14">
                <dgm:alg type="tx">
                  <dgm:param type="stBulletLvl" val="1"/>
                  <dgm:param type="parTxLTRAlign" val="r"/>
                  <dgm:param type="shpTxLTRAlignCh" val="r"/>
                  <dgm:param type="txAnchorVert" val="t"/>
                  <dgm:param type="parTxRTLAlign" val="r"/>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11/layout/TabList">
  <dgm:title val="Liste d’onglets"/>
  <dgm:desc val="Permet de représenter des blocs d’informations non séquentiels ou groupés. Utilisation optimale avec des listes comportant de petites quantités de texte Niveau 1. Le premier Niveau 2 s’affiche en regard du texte Niveau 1 et le reste du texte Niveau 2 apparaît en dessous du texte Niveau 1."/>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txAnchorVert" val="b"/>
                <dgm:param type="txAnchorVertCh" val="b"/>
                <dgm:param type="parTxRTLAlign" val="l"/>
              </dgm:alg>
            </dgm:if>
            <dgm:else name="Name6">
              <dgm:alg type="tx">
                <dgm:param type="parTxLTRAlign" val="r"/>
                <dgm:param type="shpTxLTRAlignCh" val="r"/>
                <dgm:param type="txAnchorVert" val="b"/>
                <dgm:param type="txAnchorVertCh" val="b"/>
                <dgm:param type="parTxRTLAlign" val="r"/>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stBulletLvl" val="1"/>
                  <dgm:param type="parTxLTRAlign" val="l"/>
                  <dgm:param type="parTxRTLAlign" val="l"/>
                  <dgm:param type="txAnchorVert" val="t"/>
                </dgm:alg>
              </dgm:if>
              <dgm:else name="Name14">
                <dgm:alg type="tx">
                  <dgm:param type="stBulletLvl" val="1"/>
                  <dgm:param type="parTxLTRAlign" val="r"/>
                  <dgm:param type="shpTxLTRAlignCh" val="r"/>
                  <dgm:param type="txAnchorVert" val="t"/>
                  <dgm:param type="parTxRTLAlign" val="r"/>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11/layout/TabList">
  <dgm:title val="Liste d’onglets"/>
  <dgm:desc val="Permet de représenter des blocs d’informations non séquentiels ou groupés. Utilisation optimale avec des listes comportant de petites quantités de texte Niveau 1. Le premier Niveau 2 s’affiche en regard du texte Niveau 1 et le reste du texte Niveau 2 apparaît en dessous du texte Niveau 1."/>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txAnchorVert" val="b"/>
                <dgm:param type="txAnchorVertCh" val="b"/>
                <dgm:param type="parTxRTLAlign" val="l"/>
              </dgm:alg>
            </dgm:if>
            <dgm:else name="Name6">
              <dgm:alg type="tx">
                <dgm:param type="parTxLTRAlign" val="r"/>
                <dgm:param type="shpTxLTRAlignCh" val="r"/>
                <dgm:param type="txAnchorVert" val="b"/>
                <dgm:param type="txAnchorVertCh" val="b"/>
                <dgm:param type="parTxRTLAlign" val="r"/>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stBulletLvl" val="1"/>
                  <dgm:param type="parTxLTRAlign" val="l"/>
                  <dgm:param type="parTxRTLAlign" val="l"/>
                  <dgm:param type="txAnchorVert" val="t"/>
                </dgm:alg>
              </dgm:if>
              <dgm:else name="Name14">
                <dgm:alg type="tx">
                  <dgm:param type="stBulletLvl" val="1"/>
                  <dgm:param type="parTxLTRAlign" val="r"/>
                  <dgm:param type="shpTxLTRAlignCh" val="r"/>
                  <dgm:param type="txAnchorVert" val="t"/>
                  <dgm:param type="parTxRTLAlign" val="r"/>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11/layout/TabList">
  <dgm:title val="Liste d’onglets"/>
  <dgm:desc val="Permet de représenter des blocs d’informations non séquentiels ou groupés. Utilisation optimale avec des listes comportant de petites quantités de texte Niveau 1. Le premier Niveau 2 s’affiche en regard du texte Niveau 1 et le reste du texte Niveau 2 apparaît en dessous du texte Niveau 1."/>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txAnchorVert" val="b"/>
                <dgm:param type="txAnchorVertCh" val="b"/>
                <dgm:param type="parTxRTLAlign" val="l"/>
              </dgm:alg>
            </dgm:if>
            <dgm:else name="Name6">
              <dgm:alg type="tx">
                <dgm:param type="parTxLTRAlign" val="r"/>
                <dgm:param type="shpTxLTRAlignCh" val="r"/>
                <dgm:param type="txAnchorVert" val="b"/>
                <dgm:param type="txAnchorVertCh" val="b"/>
                <dgm:param type="parTxRTLAlign" val="r"/>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stBulletLvl" val="1"/>
                  <dgm:param type="parTxLTRAlign" val="l"/>
                  <dgm:param type="parTxRTLAlign" val="l"/>
                  <dgm:param type="txAnchorVert" val="t"/>
                </dgm:alg>
              </dgm:if>
              <dgm:else name="Name14">
                <dgm:alg type="tx">
                  <dgm:param type="stBulletLvl" val="1"/>
                  <dgm:param type="parTxLTRAlign" val="r"/>
                  <dgm:param type="shpTxLTRAlignCh" val="r"/>
                  <dgm:param type="txAnchorVert" val="t"/>
                  <dgm:param type="parTxRTLAlign" val="r"/>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11/layout/TabList">
  <dgm:title val="Liste d’onglets"/>
  <dgm:desc val="Permet de représenter des blocs d’informations non séquentiels ou groupés. Utilisation optimale avec des listes comportant de petites quantités de texte Niveau 1. Le premier Niveau 2 s’affiche en regard du texte Niveau 1 et le reste du texte Niveau 2 apparaît en dessous du texte Niveau 1."/>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txAnchorVert" val="b"/>
                <dgm:param type="txAnchorVertCh" val="b"/>
                <dgm:param type="parTxRTLAlign" val="l"/>
              </dgm:alg>
            </dgm:if>
            <dgm:else name="Name6">
              <dgm:alg type="tx">
                <dgm:param type="parTxLTRAlign" val="r"/>
                <dgm:param type="shpTxLTRAlignCh" val="r"/>
                <dgm:param type="txAnchorVert" val="b"/>
                <dgm:param type="txAnchorVertCh" val="b"/>
                <dgm:param type="parTxRTLAlign" val="r"/>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stBulletLvl" val="1"/>
                  <dgm:param type="parTxLTRAlign" val="l"/>
                  <dgm:param type="parTxRTLAlign" val="l"/>
                  <dgm:param type="txAnchorVert" val="t"/>
                </dgm:alg>
              </dgm:if>
              <dgm:else name="Name14">
                <dgm:alg type="tx">
                  <dgm:param type="stBulletLvl" val="1"/>
                  <dgm:param type="parTxLTRAlign" val="r"/>
                  <dgm:param type="shpTxLTRAlignCh" val="r"/>
                  <dgm:param type="txAnchorVert" val="t"/>
                  <dgm:param type="parTxRTLAlign" val="r"/>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11/layout/TabList">
  <dgm:title val="Liste d’onglets"/>
  <dgm:desc val="Permet de représenter des blocs d’informations non séquentiels ou groupés. Utilisation optimale avec des listes comportant de petites quantités de texte Niveau 1. Le premier Niveau 2 s’affiche en regard du texte Niveau 1 et le reste du texte Niveau 2 apparaît en dessous du texte Niveau 1."/>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txAnchorVert" val="b"/>
                <dgm:param type="txAnchorVertCh" val="b"/>
                <dgm:param type="parTxRTLAlign" val="l"/>
              </dgm:alg>
            </dgm:if>
            <dgm:else name="Name6">
              <dgm:alg type="tx">
                <dgm:param type="parTxLTRAlign" val="r"/>
                <dgm:param type="shpTxLTRAlignCh" val="r"/>
                <dgm:param type="txAnchorVert" val="b"/>
                <dgm:param type="txAnchorVertCh" val="b"/>
                <dgm:param type="parTxRTLAlign" val="r"/>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stBulletLvl" val="1"/>
                  <dgm:param type="parTxLTRAlign" val="l"/>
                  <dgm:param type="parTxRTLAlign" val="l"/>
                  <dgm:param type="txAnchorVert" val="t"/>
                </dgm:alg>
              </dgm:if>
              <dgm:else name="Name14">
                <dgm:alg type="tx">
                  <dgm:param type="stBulletLvl" val="1"/>
                  <dgm:param type="parTxLTRAlign" val="r"/>
                  <dgm:param type="shpTxLTRAlignCh" val="r"/>
                  <dgm:param type="txAnchorVert" val="t"/>
                  <dgm:param type="parTxRTLAlign" val="r"/>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11/layout/TabList">
  <dgm:title val="Liste d’onglets"/>
  <dgm:desc val="Permet de représenter des blocs d’informations non séquentiels ou groupés. Utilisation optimale avec des listes comportant de petites quantités de texte Niveau 1. Le premier Niveau 2 s’affiche en regard du texte Niveau 1 et le reste du texte Niveau 2 apparaît en dessous du texte Niveau 1."/>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txAnchorVert" val="b"/>
                <dgm:param type="txAnchorVertCh" val="b"/>
                <dgm:param type="parTxRTLAlign" val="l"/>
              </dgm:alg>
            </dgm:if>
            <dgm:else name="Name6">
              <dgm:alg type="tx">
                <dgm:param type="parTxLTRAlign" val="r"/>
                <dgm:param type="shpTxLTRAlignCh" val="r"/>
                <dgm:param type="txAnchorVert" val="b"/>
                <dgm:param type="txAnchorVertCh" val="b"/>
                <dgm:param type="parTxRTLAlign" val="r"/>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stBulletLvl" val="1"/>
                  <dgm:param type="parTxLTRAlign" val="l"/>
                  <dgm:param type="parTxRTLAlign" val="l"/>
                  <dgm:param type="txAnchorVert" val="t"/>
                </dgm:alg>
              </dgm:if>
              <dgm:else name="Name14">
                <dgm:alg type="tx">
                  <dgm:param type="stBulletLvl" val="1"/>
                  <dgm:param type="parTxLTRAlign" val="r"/>
                  <dgm:param type="shpTxLTRAlignCh" val="r"/>
                  <dgm:param type="txAnchorVert" val="t"/>
                  <dgm:param type="parTxRTLAlign" val="r"/>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11/layout/TabList">
  <dgm:title val="Liste d’onglets"/>
  <dgm:desc val="Permet de représenter des blocs d’informations non séquentiels ou groupés. Utilisation optimale avec des listes comportant de petites quantités de texte Niveau 1. Le premier Niveau 2 s’affiche en regard du texte Niveau 1 et le reste du texte Niveau 2 apparaît en dessous du texte Niveau 1."/>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txAnchorVert" val="b"/>
                <dgm:param type="txAnchorVertCh" val="b"/>
                <dgm:param type="parTxRTLAlign" val="l"/>
              </dgm:alg>
            </dgm:if>
            <dgm:else name="Name6">
              <dgm:alg type="tx">
                <dgm:param type="parTxLTRAlign" val="r"/>
                <dgm:param type="shpTxLTRAlignCh" val="r"/>
                <dgm:param type="txAnchorVert" val="b"/>
                <dgm:param type="txAnchorVertCh" val="b"/>
                <dgm:param type="parTxRTLAlign" val="r"/>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stBulletLvl" val="1"/>
                  <dgm:param type="parTxLTRAlign" val="l"/>
                  <dgm:param type="parTxRTLAlign" val="l"/>
                  <dgm:param type="txAnchorVert" val="t"/>
                </dgm:alg>
              </dgm:if>
              <dgm:else name="Name14">
                <dgm:alg type="tx">
                  <dgm:param type="stBulletLvl" val="1"/>
                  <dgm:param type="parTxLTRAlign" val="r"/>
                  <dgm:param type="shpTxLTRAlignCh" val="r"/>
                  <dgm:param type="txAnchorVert" val="t"/>
                  <dgm:param type="parTxRTLAlign" val="r"/>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11/layout/TabList">
  <dgm:title val="Liste d’onglets"/>
  <dgm:desc val="Permet de représenter des blocs d’informations non séquentiels ou groupés. Utilisation optimale avec des listes comportant de petites quantités de texte Niveau 1. Le premier Niveau 2 s’affiche en regard du texte Niveau 1 et le reste du texte Niveau 2 apparaît en dessous du texte Niveau 1."/>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txAnchorVert" val="b"/>
                <dgm:param type="txAnchorVertCh" val="b"/>
                <dgm:param type="parTxRTLAlign" val="l"/>
              </dgm:alg>
            </dgm:if>
            <dgm:else name="Name6">
              <dgm:alg type="tx">
                <dgm:param type="parTxLTRAlign" val="r"/>
                <dgm:param type="shpTxLTRAlignCh" val="r"/>
                <dgm:param type="txAnchorVert" val="b"/>
                <dgm:param type="txAnchorVertCh" val="b"/>
                <dgm:param type="parTxRTLAlign" val="r"/>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stBulletLvl" val="1"/>
                  <dgm:param type="parTxLTRAlign" val="l"/>
                  <dgm:param type="parTxRTLAlign" val="l"/>
                  <dgm:param type="txAnchorVert" val="t"/>
                </dgm:alg>
              </dgm:if>
              <dgm:else name="Name14">
                <dgm:alg type="tx">
                  <dgm:param type="stBulletLvl" val="1"/>
                  <dgm:param type="parTxLTRAlign" val="r"/>
                  <dgm:param type="shpTxLTRAlignCh" val="r"/>
                  <dgm:param type="txAnchorVert" val="t"/>
                  <dgm:param type="parTxRTLAlign" val="r"/>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11/layout/TabList">
  <dgm:title val="Liste d’onglets"/>
  <dgm:desc val="Permet de représenter des blocs d’informations non séquentiels ou groupés. Utilisation optimale avec des listes comportant de petites quantités de texte Niveau 1. Le premier Niveau 2 s’affiche en regard du texte Niveau 1 et le reste du texte Niveau 2 apparaît en dessous du texte Niveau 1."/>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txAnchorVert" val="b"/>
                <dgm:param type="txAnchorVertCh" val="b"/>
                <dgm:param type="parTxRTLAlign" val="l"/>
              </dgm:alg>
            </dgm:if>
            <dgm:else name="Name6">
              <dgm:alg type="tx">
                <dgm:param type="parTxLTRAlign" val="r"/>
                <dgm:param type="shpTxLTRAlignCh" val="r"/>
                <dgm:param type="txAnchorVert" val="b"/>
                <dgm:param type="txAnchorVertCh" val="b"/>
                <dgm:param type="parTxRTLAlign" val="r"/>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stBulletLvl" val="1"/>
                  <dgm:param type="parTxLTRAlign" val="l"/>
                  <dgm:param type="parTxRTLAlign" val="l"/>
                  <dgm:param type="txAnchorVert" val="t"/>
                </dgm:alg>
              </dgm:if>
              <dgm:else name="Name14">
                <dgm:alg type="tx">
                  <dgm:param type="stBulletLvl" val="1"/>
                  <dgm:param type="parTxLTRAlign" val="r"/>
                  <dgm:param type="shpTxLTRAlignCh" val="r"/>
                  <dgm:param type="txAnchorVert" val="t"/>
                  <dgm:param type="parTxRTLAlign" val="r"/>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11/layout/TabList">
  <dgm:title val="Liste d’onglets"/>
  <dgm:desc val="Permet de représenter des blocs d’informations non séquentiels ou groupés. Utilisation optimale avec des listes comportant de petites quantités de texte Niveau 1. Le premier Niveau 2 s’affiche en regard du texte Niveau 1 et le reste du texte Niveau 2 apparaît en dessous du texte Niveau 1."/>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txAnchorVert" val="b"/>
                <dgm:param type="txAnchorVertCh" val="b"/>
                <dgm:param type="parTxRTLAlign" val="l"/>
              </dgm:alg>
            </dgm:if>
            <dgm:else name="Name6">
              <dgm:alg type="tx">
                <dgm:param type="parTxLTRAlign" val="r"/>
                <dgm:param type="shpTxLTRAlignCh" val="r"/>
                <dgm:param type="txAnchorVert" val="b"/>
                <dgm:param type="txAnchorVertCh" val="b"/>
                <dgm:param type="parTxRTLAlign" val="r"/>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stBulletLvl" val="1"/>
                  <dgm:param type="parTxLTRAlign" val="l"/>
                  <dgm:param type="parTxRTLAlign" val="l"/>
                  <dgm:param type="txAnchorVert" val="t"/>
                </dgm:alg>
              </dgm:if>
              <dgm:else name="Name14">
                <dgm:alg type="tx">
                  <dgm:param type="stBulletLvl" val="1"/>
                  <dgm:param type="parTxLTRAlign" val="r"/>
                  <dgm:param type="shpTxLTRAlignCh" val="r"/>
                  <dgm:param type="txAnchorVert" val="t"/>
                  <dgm:param type="parTxRTLAlign" val="r"/>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11/layout/TabList">
  <dgm:title val="Liste d’onglets"/>
  <dgm:desc val="Permet de représenter des blocs d’informations non séquentiels ou groupés. Utilisation optimale avec des listes comportant de petites quantités de texte Niveau 1. Le premier Niveau 2 s’affiche en regard du texte Niveau 1 et le reste du texte Niveau 2 apparaît en dessous du texte Niveau 1."/>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txAnchorVert" val="b"/>
                <dgm:param type="txAnchorVertCh" val="b"/>
                <dgm:param type="parTxRTLAlign" val="l"/>
              </dgm:alg>
            </dgm:if>
            <dgm:else name="Name6">
              <dgm:alg type="tx">
                <dgm:param type="parTxLTRAlign" val="r"/>
                <dgm:param type="shpTxLTRAlignCh" val="r"/>
                <dgm:param type="txAnchorVert" val="b"/>
                <dgm:param type="txAnchorVertCh" val="b"/>
                <dgm:param type="parTxRTLAlign" val="r"/>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stBulletLvl" val="1"/>
                  <dgm:param type="parTxLTRAlign" val="l"/>
                  <dgm:param type="parTxRTLAlign" val="l"/>
                  <dgm:param type="txAnchorVert" val="t"/>
                </dgm:alg>
              </dgm:if>
              <dgm:else name="Name14">
                <dgm:alg type="tx">
                  <dgm:param type="stBulletLvl" val="1"/>
                  <dgm:param type="parTxLTRAlign" val="r"/>
                  <dgm:param type="shpTxLTRAlignCh" val="r"/>
                  <dgm:param type="txAnchorVert" val="t"/>
                  <dgm:param type="parTxRTLAlign" val="r"/>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10">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12">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13">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14">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15">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16">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17">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18">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19">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20">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3">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4">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5">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6">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7">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8">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9">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0</TotalTime>
  <Pages>33</Pages>
  <Words>4207</Words>
  <Characters>23984</Characters>
  <Application>Microsoft Macintosh Word</Application>
  <DocSecurity>0</DocSecurity>
  <Lines>199</Lines>
  <Paragraphs>47</Paragraphs>
  <ScaleCrop>false</ScaleCrop>
  <Company>HP</Company>
  <LinksUpToDate>false</LinksUpToDate>
  <CharactersWithSpaces>29454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Bilan Activités Clauses Sociales</dc:title>
  <dc:subject/>
  <dc:creator>sabine Morel</dc:creator>
  <cp:keywords/>
  <dc:description/>
  <cp:lastModifiedBy>Celine Parat</cp:lastModifiedBy>
  <cp:revision>2</cp:revision>
  <cp:lastPrinted>2013-01-24T15:32:00Z</cp:lastPrinted>
  <dcterms:created xsi:type="dcterms:W3CDTF">2013-07-03T13:16:00Z</dcterms:created>
  <dcterms:modified xsi:type="dcterms:W3CDTF">2013-07-03T13:16:00Z</dcterms:modified>
</cp:coreProperties>
</file>